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b w:val="1"/>
          <w:sz w:val="36"/>
          <w:bdr w:val="single" w:color="auto" w:sz="4" w:space="0"/>
        </w:rPr>
      </w:pPr>
      <w:r>
        <w:rPr>
          <w:rFonts w:hint="eastAsia"/>
          <w:b w:val="1"/>
          <w:sz w:val="28"/>
        </w:rPr>
        <w:t>　　　　　　　　　　　　　　　　　　　　　　</w:t>
      </w:r>
    </w:p>
    <w:p>
      <w:pPr>
        <w:pStyle w:val="0"/>
        <w:jc w:val="center"/>
        <w:rPr>
          <w:rFonts w:hint="default"/>
          <w:b w:val="1"/>
          <w:sz w:val="28"/>
        </w:rPr>
      </w:pPr>
    </w:p>
    <w:p>
      <w:pPr>
        <w:pStyle w:val="0"/>
        <w:jc w:val="center"/>
        <w:rPr>
          <w:rFonts w:hint="default"/>
          <w:b w:val="1"/>
          <w:sz w:val="28"/>
        </w:rPr>
      </w:pPr>
    </w:p>
    <w:p>
      <w:pPr>
        <w:pStyle w:val="0"/>
        <w:spacing w:line="600" w:lineRule="auto"/>
        <w:jc w:val="center"/>
        <w:rPr>
          <w:rFonts w:hint="default"/>
          <w:b w:val="1"/>
          <w:color w:val="auto"/>
          <w:sz w:val="36"/>
        </w:rPr>
      </w:pPr>
      <w:r>
        <w:rPr>
          <w:rFonts w:hint="eastAsia"/>
          <w:b w:val="1"/>
          <w:color w:val="auto"/>
          <w:sz w:val="36"/>
        </w:rPr>
        <w:t>令　和　</w:t>
      </w:r>
      <w:r>
        <w:rPr>
          <w:rFonts w:hint="eastAsia"/>
          <w:b w:val="1"/>
          <w:color w:val="auto"/>
          <w:sz w:val="36"/>
        </w:rPr>
        <w:t>8</w:t>
      </w:r>
      <w:r>
        <w:rPr>
          <w:rFonts w:hint="eastAsia"/>
          <w:b w:val="1"/>
          <w:color w:val="auto"/>
          <w:sz w:val="36"/>
        </w:rPr>
        <w:t>　年　度</w:t>
      </w:r>
    </w:p>
    <w:p>
      <w:pPr>
        <w:pStyle w:val="0"/>
        <w:spacing w:line="600" w:lineRule="auto"/>
        <w:jc w:val="center"/>
        <w:rPr>
          <w:rFonts w:hint="default"/>
          <w:b w:val="1"/>
          <w:color w:val="auto"/>
          <w:sz w:val="36"/>
        </w:rPr>
      </w:pPr>
    </w:p>
    <w:p>
      <w:pPr>
        <w:pStyle w:val="0"/>
        <w:spacing w:line="600" w:lineRule="auto"/>
        <w:jc w:val="center"/>
        <w:rPr>
          <w:rFonts w:hint="default"/>
          <w:b w:val="1"/>
          <w:color w:val="auto"/>
          <w:sz w:val="32"/>
        </w:rPr>
      </w:pPr>
      <w:r>
        <w:rPr>
          <w:rFonts w:hint="eastAsia"/>
          <w:b w:val="1"/>
          <w:color w:val="auto"/>
          <w:sz w:val="36"/>
        </w:rPr>
        <w:t>「教育委員会の点検・評価」報告書</w:t>
      </w:r>
    </w:p>
    <w:p>
      <w:pPr>
        <w:pStyle w:val="0"/>
        <w:spacing w:line="600" w:lineRule="auto"/>
        <w:jc w:val="center"/>
        <w:rPr>
          <w:rFonts w:hint="default"/>
          <w:b w:val="1"/>
          <w:color w:val="auto"/>
          <w:sz w:val="32"/>
          <w:u w:val="single" w:color="auto"/>
        </w:rPr>
      </w:pPr>
    </w:p>
    <w:p>
      <w:pPr>
        <w:pStyle w:val="0"/>
        <w:spacing w:line="600" w:lineRule="auto"/>
        <w:jc w:val="center"/>
        <w:rPr>
          <w:rFonts w:hint="default"/>
          <w:b w:val="1"/>
          <w:color w:val="auto"/>
          <w:sz w:val="32"/>
        </w:rPr>
      </w:pPr>
      <w:r>
        <w:rPr>
          <w:rFonts w:hint="eastAsia"/>
          <w:b w:val="1"/>
          <w:color w:val="auto"/>
          <w:sz w:val="32"/>
        </w:rPr>
        <w:t>（令和７年度対象）</w:t>
      </w:r>
    </w:p>
    <w:p>
      <w:pPr>
        <w:pStyle w:val="0"/>
        <w:rPr>
          <w:rFonts w:hint="default"/>
          <w:b w:val="1"/>
          <w:color w:val="auto"/>
        </w:rPr>
      </w:pPr>
    </w:p>
    <w:p>
      <w:pPr>
        <w:pStyle w:val="0"/>
        <w:rPr>
          <w:rFonts w:hint="default"/>
          <w:b w:val="1"/>
          <w:color w:val="auto"/>
        </w:rPr>
      </w:pPr>
    </w:p>
    <w:p>
      <w:pPr>
        <w:pStyle w:val="0"/>
        <w:rPr>
          <w:rFonts w:hint="default"/>
          <w:b w:val="1"/>
          <w:color w:val="auto"/>
        </w:rPr>
      </w:pPr>
    </w:p>
    <w:p>
      <w:pPr>
        <w:pStyle w:val="0"/>
        <w:rPr>
          <w:rFonts w:hint="default"/>
          <w:b w:val="1"/>
          <w:color w:val="auto"/>
        </w:rPr>
      </w:pPr>
      <w:r>
        <w:rPr>
          <w:rFonts w:hint="eastAsia"/>
          <w:b w:val="1"/>
          <w:color w:val="auto"/>
        </w:rPr>
        <w:t>　　</w:t>
      </w:r>
    </w:p>
    <w:p>
      <w:pPr>
        <w:pStyle w:val="0"/>
        <w:rPr>
          <w:rFonts w:hint="default"/>
          <w:b w:val="1"/>
          <w:color w:val="auto"/>
        </w:rPr>
      </w:pPr>
    </w:p>
    <w:p>
      <w:pPr>
        <w:pStyle w:val="0"/>
        <w:rPr>
          <w:rFonts w:hint="default"/>
          <w:b w:val="1"/>
          <w:color w:val="auto"/>
        </w:rPr>
      </w:pPr>
      <w:bookmarkStart w:id="0" w:name="_GoBack"/>
      <w:bookmarkEnd w:id="0"/>
    </w:p>
    <w:p>
      <w:pPr>
        <w:pStyle w:val="0"/>
        <w:rPr>
          <w:rFonts w:hint="default"/>
          <w:b w:val="1"/>
          <w:color w:val="auto"/>
        </w:rPr>
      </w:pPr>
    </w:p>
    <w:p>
      <w:pPr>
        <w:pStyle w:val="0"/>
        <w:rPr>
          <w:rFonts w:hint="default"/>
          <w:b w:val="1"/>
          <w:color w:val="auto"/>
        </w:rPr>
      </w:pPr>
    </w:p>
    <w:p>
      <w:pPr>
        <w:pStyle w:val="0"/>
        <w:rPr>
          <w:rFonts w:hint="default"/>
          <w:b w:val="1"/>
          <w:color w:val="auto"/>
          <w:u w:val="single" w:color="auto"/>
        </w:rPr>
      </w:pPr>
      <w:r>
        <w:rPr>
          <w:rFonts w:hint="eastAsia"/>
          <w:b w:val="1"/>
          <w:color w:val="auto"/>
        </w:rPr>
        <w:t>　　　　　　　　　　　　</w:t>
      </w:r>
    </w:p>
    <w:p>
      <w:pPr>
        <w:pStyle w:val="0"/>
        <w:rPr>
          <w:rFonts w:hint="default"/>
          <w:b w:val="1"/>
          <w:color w:val="auto"/>
        </w:rPr>
      </w:pPr>
    </w:p>
    <w:p>
      <w:pPr>
        <w:pStyle w:val="0"/>
        <w:rPr>
          <w:rFonts w:hint="default"/>
          <w:b w:val="1"/>
          <w:color w:val="auto"/>
        </w:rPr>
      </w:pPr>
    </w:p>
    <w:p>
      <w:pPr>
        <w:pStyle w:val="0"/>
        <w:spacing w:line="600" w:lineRule="auto"/>
        <w:jc w:val="center"/>
        <w:rPr>
          <w:rFonts w:hint="default"/>
          <w:b w:val="1"/>
          <w:color w:val="auto"/>
          <w:sz w:val="28"/>
        </w:rPr>
      </w:pPr>
      <w:r>
        <w:rPr>
          <w:rFonts w:hint="eastAsia"/>
          <w:b w:val="1"/>
          <w:color w:val="auto"/>
          <w:sz w:val="28"/>
        </w:rPr>
        <w:t>令和８年９月</w:t>
      </w:r>
    </w:p>
    <w:p>
      <w:pPr>
        <w:pStyle w:val="0"/>
        <w:spacing w:line="600" w:lineRule="auto"/>
        <w:rPr>
          <w:rFonts w:hint="default"/>
          <w:b w:val="1"/>
          <w:color w:val="auto"/>
        </w:rPr>
      </w:pPr>
    </w:p>
    <w:p>
      <w:pPr>
        <w:pStyle w:val="0"/>
        <w:spacing w:line="600" w:lineRule="auto"/>
        <w:jc w:val="center"/>
        <w:rPr>
          <w:rFonts w:hint="default"/>
          <w:b w:val="1"/>
          <w:color w:val="auto"/>
          <w:sz w:val="32"/>
        </w:rPr>
      </w:pPr>
      <w:r>
        <w:rPr>
          <w:rFonts w:hint="eastAsia"/>
          <w:b w:val="1"/>
          <w:color w:val="auto"/>
          <w:sz w:val="32"/>
        </w:rPr>
        <w:t>上三川町教育委員会</w:t>
      </w:r>
    </w:p>
    <w:p>
      <w:pPr>
        <w:pStyle w:val="0"/>
        <w:rPr>
          <w:rFonts w:hint="default"/>
          <w:b w:val="1"/>
          <w:color w:val="auto"/>
        </w:rPr>
      </w:pPr>
    </w:p>
    <w:p>
      <w:pPr>
        <w:pStyle w:val="0"/>
        <w:rPr>
          <w:rFonts w:hint="default"/>
          <w:b w:val="1"/>
          <w:color w:val="auto"/>
        </w:rPr>
      </w:pPr>
      <w:r>
        <w:rPr>
          <w:rFonts w:hint="default"/>
          <w:b w:val="1"/>
          <w:color w:val="auto"/>
        </w:rPr>
        <mc:AlternateContent>
          <mc:Choice Requires="wps">
            <w:drawing>
              <wp:anchor distT="0" distB="0" distL="114300" distR="114300" simplePos="0" relativeHeight="2" behindDoc="0" locked="0" layoutInCell="1" hidden="0" allowOverlap="1">
                <wp:simplePos x="0" y="0"/>
                <wp:positionH relativeFrom="column">
                  <wp:posOffset>2514600</wp:posOffset>
                </wp:positionH>
                <wp:positionV relativeFrom="paragraph">
                  <wp:posOffset>342900</wp:posOffset>
                </wp:positionV>
                <wp:extent cx="457200" cy="342900"/>
                <wp:effectExtent l="0" t="0" r="635" b="635"/>
                <wp:wrapNone/>
                <wp:docPr id="1026" name="Rectangle 2"/>
                <a:graphic xmlns:a="http://schemas.openxmlformats.org/drawingml/2006/main">
                  <a:graphicData uri="http://schemas.microsoft.com/office/word/2010/wordprocessingShape">
                    <wps:wsp>
                      <wps:cNvPr id="1026" name="Rectangle 2"/>
                      <wps:cNvSpPr>
                        <a:spLocks noChangeArrowheads="1"/>
                      </wps:cNvSpPr>
                      <wps:spPr>
                        <a:xfrm>
                          <a:off x="0" y="0"/>
                          <a:ext cx="457200" cy="342900"/>
                        </a:xfrm>
                        <a:prstGeom prst="rect">
                          <a:avLst/>
                        </a:prstGeom>
                        <a:solidFill>
                          <a:srgbClr val="FFFFFF"/>
                        </a:solidFill>
                        <a:ln>
                          <a:noFill/>
                        </a:ln>
                      </wps:spPr>
                      <wps:bodyPr/>
                    </wps:wsp>
                  </a:graphicData>
                </a:graphic>
              </wp:anchor>
            </w:drawing>
          </mc:Choice>
          <mc:Fallback>
            <w:pict>
              <v:rect id="Rectangle 2" style="z-index:2;height:27pt;mso-wrap-distance-left:9pt;width:36pt;mso-wrap-distance-top:0pt;mso-position-horizontal-relative:text;position:absolute;margin-top:27pt;margin-left:198pt;mso-position-vertical-relative:text;mso-wrap-distance-bottom:0pt;mso-wrap-distance-right:9pt;" o:spid="_x0000_s1026" o:allowincell="t" o:allowoverlap="t" filled="t" fillcolor="#ffffff" stroked="f" o:spt="1">
                <v:fill/>
                <v:textbox style="layout-flow:horizontal;"/>
                <v:imagedata o:title=""/>
                <w10:wrap type="none" anchorx="text" anchory="text"/>
              </v:rect>
            </w:pict>
          </mc:Fallback>
        </mc:AlternateContent>
      </w:r>
    </w:p>
    <w:p>
      <w:pPr>
        <w:pStyle w:val="0"/>
        <w:rPr>
          <w:rFonts w:hint="default"/>
          <w:b w:val="1"/>
          <w:color w:val="auto"/>
        </w:rPr>
      </w:pPr>
    </w:p>
    <w:p>
      <w:pPr>
        <w:pStyle w:val="0"/>
        <w:rPr>
          <w:rFonts w:hint="default" w:ascii="ＭＳ 明朝" w:hAnsi="ＭＳ 明朝"/>
          <w:b w:val="1"/>
          <w:color w:val="auto"/>
          <w:sz w:val="28"/>
        </w:rPr>
      </w:pPr>
      <w:r>
        <w:rPr>
          <w:rFonts w:hint="eastAsia" w:ascii="ＭＳ 明朝" w:hAnsi="ＭＳ 明朝"/>
          <w:b w:val="1"/>
          <w:color w:val="auto"/>
        </w:rPr>
        <w:t>　　　</w:t>
      </w:r>
      <w:r>
        <w:rPr>
          <w:rFonts w:hint="eastAsia" w:ascii="ＭＳ 明朝" w:hAnsi="ＭＳ 明朝"/>
          <w:b w:val="1"/>
          <w:color w:val="auto"/>
          <w:sz w:val="28"/>
        </w:rPr>
        <w:t>は　じ　め　に</w:t>
      </w:r>
    </w:p>
    <w:p>
      <w:pPr>
        <w:pStyle w:val="0"/>
        <w:rPr>
          <w:rFonts w:hint="default" w:ascii="ＭＳ 明朝" w:hAnsi="ＭＳ 明朝"/>
          <w:color w:val="auto"/>
        </w:rPr>
      </w:pPr>
    </w:p>
    <w:p>
      <w:pPr>
        <w:pStyle w:val="0"/>
        <w:spacing w:line="360" w:lineRule="auto"/>
        <w:rPr>
          <w:rFonts w:hint="default" w:ascii="ＭＳ 明朝" w:hAnsi="ＭＳ 明朝"/>
          <w:color w:val="auto"/>
        </w:rPr>
      </w:pPr>
      <w:r>
        <w:rPr>
          <w:rFonts w:hint="eastAsia" w:ascii="ＭＳ 明朝" w:hAnsi="ＭＳ 明朝"/>
          <w:color w:val="auto"/>
        </w:rPr>
        <w:t>　「地方教育行政の組織及び運営に関する法律」の規定により、教育委員会は、毎年、その権限に属する事務の管理及び執行の状況について点検及び評価を行い、その結果に関する報告書を作成し、議会に提出するとともに、公表することになっております。</w:t>
      </w:r>
    </w:p>
    <w:p>
      <w:pPr>
        <w:pStyle w:val="0"/>
        <w:spacing w:line="360" w:lineRule="auto"/>
        <w:rPr>
          <w:rFonts w:hint="default" w:ascii="ＭＳ 明朝" w:hAnsi="ＭＳ 明朝"/>
          <w:color w:val="auto"/>
        </w:rPr>
      </w:pPr>
      <w:r>
        <w:rPr>
          <w:rFonts w:hint="eastAsia" w:ascii="ＭＳ 明朝" w:hAnsi="ＭＳ 明朝"/>
          <w:color w:val="auto"/>
        </w:rPr>
        <w:t>　町教育委員会では、上三川町第７次総合計画</w:t>
      </w:r>
      <w:r>
        <w:rPr>
          <w:rFonts w:hint="eastAsia" w:ascii="ＭＳ 明朝" w:hAnsi="ＭＳ 明朝"/>
          <w:color w:val="auto"/>
          <w:sz w:val="22"/>
        </w:rPr>
        <w:t>後期基本計画</w:t>
      </w:r>
      <w:r>
        <w:rPr>
          <w:rFonts w:hint="eastAsia" w:ascii="ＭＳ 明朝" w:hAnsi="ＭＳ 明朝"/>
          <w:color w:val="auto"/>
        </w:rPr>
        <w:t>「共に創る　次代に輝く　安心・活力のまち　上三川」に基づき、様々な施策を展開してきました。</w:t>
      </w:r>
    </w:p>
    <w:p>
      <w:pPr>
        <w:pStyle w:val="0"/>
        <w:spacing w:line="360" w:lineRule="auto"/>
        <w:rPr>
          <w:rFonts w:hint="default" w:ascii="ＭＳ 明朝" w:hAnsi="ＭＳ 明朝"/>
          <w:color w:val="auto"/>
        </w:rPr>
      </w:pPr>
      <w:r>
        <w:rPr>
          <w:rFonts w:hint="eastAsia" w:ascii="ＭＳ 明朝" w:hAnsi="ＭＳ 明朝"/>
          <w:color w:val="auto"/>
        </w:rPr>
        <w:t>　本報告書は、上三川町第７次総合計画</w:t>
      </w:r>
      <w:r>
        <w:rPr>
          <w:rFonts w:hint="eastAsia" w:ascii="ＭＳ 明朝" w:hAnsi="ＭＳ 明朝"/>
          <w:color w:val="auto"/>
          <w:sz w:val="22"/>
        </w:rPr>
        <w:t>後期基本計画</w:t>
      </w:r>
      <w:r>
        <w:rPr>
          <w:rFonts w:hint="eastAsia" w:ascii="ＭＳ 明朝" w:hAnsi="ＭＳ 明朝"/>
          <w:color w:val="auto"/>
        </w:rPr>
        <w:t>のうち、「子ども・健康・福祉」のまちづくり及び「人・文化・スポーツ」のまちづくりに掲げられた主要事務事業や町教育委員会の活動状況等について点検・評価を行い、学識経験等を有する方々で組織する「意見聴取会」からご意見をいただいたうえで、その結果を概括的にとりまとめたものです。</w:t>
      </w:r>
    </w:p>
    <w:p>
      <w:pPr>
        <w:pStyle w:val="0"/>
        <w:spacing w:line="360" w:lineRule="auto"/>
        <w:rPr>
          <w:rFonts w:hint="default" w:ascii="ＭＳ 明朝" w:hAnsi="ＭＳ 明朝"/>
          <w:color w:val="auto"/>
        </w:rPr>
      </w:pPr>
      <w:r>
        <w:rPr>
          <w:rFonts w:hint="eastAsia" w:ascii="ＭＳ 明朝" w:hAnsi="ＭＳ 明朝"/>
          <w:color w:val="auto"/>
        </w:rPr>
        <w:t>　町民の皆様にこの報告書をご覧いただき、町教育委員会の取組に対するご意見をお寄せいただくことにより、よりよい教育行政の実現を目指していきたいと考えております。</w:t>
      </w:r>
    </w:p>
    <w:p>
      <w:pPr>
        <w:pStyle w:val="0"/>
        <w:spacing w:line="360" w:lineRule="auto"/>
        <w:rPr>
          <w:rFonts w:hint="default" w:ascii="ＭＳ 明朝" w:hAnsi="ＭＳ 明朝"/>
          <w:color w:val="auto"/>
        </w:rPr>
      </w:pPr>
      <w:r>
        <w:rPr>
          <w:rFonts w:hint="eastAsia" w:ascii="ＭＳ 明朝" w:hAnsi="ＭＳ 明朝"/>
          <w:color w:val="auto"/>
        </w:rPr>
        <w:t>　今後とも、町総合計画で掲げた理念の実現に向け、着実に取組を進めていきたいと考えておりますので、町民の皆様には、上三川町の教育・文化・スポーツの充実・発展のために、ご理解ご協力賜りますようお願い申し上げます。</w:t>
      </w:r>
    </w:p>
    <w:p>
      <w:pPr>
        <w:pStyle w:val="0"/>
        <w:spacing w:line="360" w:lineRule="auto"/>
        <w:rPr>
          <w:rFonts w:hint="default" w:ascii="ＭＳ 明朝" w:hAnsi="ＭＳ 明朝"/>
          <w:color w:val="auto"/>
        </w:rPr>
      </w:pPr>
      <w:r>
        <w:rPr>
          <w:rFonts w:hint="eastAsia" w:ascii="ＭＳ 明朝" w:hAnsi="ＭＳ 明朝"/>
          <w:color w:val="auto"/>
        </w:rPr>
        <w:t>　　　　令和８年９月</w:t>
      </w:r>
    </w:p>
    <w:p>
      <w:pPr>
        <w:pStyle w:val="0"/>
        <w:spacing w:line="360" w:lineRule="auto"/>
        <w:jc w:val="center"/>
        <w:rPr>
          <w:rFonts w:hint="default" w:ascii="ＭＳ 明朝" w:hAnsi="ＭＳ 明朝"/>
          <w:color w:val="auto"/>
        </w:rPr>
      </w:pPr>
      <w:r>
        <w:rPr>
          <w:rFonts w:hint="default" w:ascii="ＭＳ 明朝" w:hAnsi="ＭＳ 明朝"/>
          <w:color w:val="auto"/>
        </w:rPr>
        <mc:AlternateContent>
          <mc:Choice Requires="wps">
            <w:drawing>
              <wp:anchor distT="0" distB="0" distL="114300" distR="114300" simplePos="0" relativeHeight="5" behindDoc="0" locked="0" layoutInCell="1" hidden="0" allowOverlap="1">
                <wp:simplePos x="0" y="0"/>
                <wp:positionH relativeFrom="column">
                  <wp:posOffset>2529840</wp:posOffset>
                </wp:positionH>
                <wp:positionV relativeFrom="paragraph">
                  <wp:posOffset>670560</wp:posOffset>
                </wp:positionV>
                <wp:extent cx="457200" cy="342900"/>
                <wp:effectExtent l="0" t="0" r="635" b="635"/>
                <wp:wrapNone/>
                <wp:docPr id="1027" name="Rectangle 5"/>
                <a:graphic xmlns:a="http://schemas.openxmlformats.org/drawingml/2006/main">
                  <a:graphicData uri="http://schemas.microsoft.com/office/word/2010/wordprocessingShape">
                    <wps:wsp>
                      <wps:cNvPr id="1027" name="Rectangle 5"/>
                      <wps:cNvSpPr>
                        <a:spLocks noChangeArrowheads="1"/>
                      </wps:cNvSpPr>
                      <wps:spPr>
                        <a:xfrm>
                          <a:off x="0" y="0"/>
                          <a:ext cx="457200" cy="342900"/>
                        </a:xfrm>
                        <a:prstGeom prst="rect">
                          <a:avLst/>
                        </a:prstGeom>
                        <a:solidFill>
                          <a:srgbClr val="FFFFFF"/>
                        </a:solidFill>
                        <a:ln>
                          <a:noFill/>
                        </a:ln>
                      </wps:spPr>
                      <wps:bodyPr/>
                    </wps:wsp>
                  </a:graphicData>
                </a:graphic>
              </wp:anchor>
            </w:drawing>
          </mc:Choice>
          <mc:Fallback>
            <w:pict>
              <v:rect id="Rectangle 5" style="z-index:5;height:27pt;mso-wrap-distance-left:9pt;width:36pt;mso-wrap-distance-top:0pt;mso-position-horizontal-relative:text;position:absolute;margin-top:52.8pt;margin-left:199.2pt;mso-position-vertical-relative:text;mso-wrap-distance-bottom:0pt;mso-wrap-distance-right:9pt;" o:spid="_x0000_s1027" o:allowincell="t" o:allowoverlap="t" filled="t" fillcolor="#ffffff" stroked="f" o:spt="1">
                <v:fill/>
                <v:textbox style="layout-flow:horizontal;"/>
                <v:imagedata o:title=""/>
                <w10:wrap type="none" anchorx="text" anchory="text"/>
              </v:rect>
            </w:pict>
          </mc:Fallback>
        </mc:AlternateContent>
      </w:r>
    </w:p>
    <w:p>
      <w:pPr>
        <w:pStyle w:val="0"/>
        <w:spacing w:line="360" w:lineRule="auto"/>
        <w:ind w:right="240"/>
        <w:jc w:val="right"/>
        <w:rPr>
          <w:rFonts w:hint="default" w:ascii="ＭＳ 明朝" w:hAnsi="ＭＳ 明朝"/>
          <w:color w:val="auto"/>
        </w:rPr>
      </w:pPr>
      <w:r>
        <w:rPr>
          <w:rFonts w:hint="eastAsia" w:ascii="ＭＳ 明朝" w:hAnsi="ＭＳ 明朝"/>
          <w:color w:val="auto"/>
        </w:rPr>
        <w:t>上三川町教育委員会</w:t>
      </w:r>
    </w:p>
    <w:p>
      <w:pPr>
        <w:pStyle w:val="0"/>
        <w:spacing w:line="360" w:lineRule="auto"/>
        <w:ind w:right="240"/>
        <w:jc w:val="right"/>
        <w:rPr>
          <w:rFonts w:hint="default" w:ascii="ＭＳ 明朝" w:hAnsi="ＭＳ 明朝"/>
          <w:color w:val="auto"/>
        </w:rPr>
      </w:pPr>
      <w:r>
        <w:rPr>
          <w:rFonts w:hint="default"/>
          <w:b w:val="1"/>
          <w:color w:val="auto"/>
        </w:rPr>
        <mc:AlternateContent>
          <mc:Choice Requires="wps">
            <w:drawing>
              <wp:anchor distT="0" distB="0" distL="114300" distR="114300" simplePos="0" relativeHeight="3" behindDoc="0" locked="0" layoutInCell="1" hidden="0" allowOverlap="1">
                <wp:simplePos x="0" y="0"/>
                <wp:positionH relativeFrom="column">
                  <wp:posOffset>2355850</wp:posOffset>
                </wp:positionH>
                <wp:positionV relativeFrom="paragraph">
                  <wp:posOffset>374650</wp:posOffset>
                </wp:positionV>
                <wp:extent cx="457200" cy="342900"/>
                <wp:effectExtent l="0" t="0" r="635" b="635"/>
                <wp:wrapNone/>
                <wp:docPr id="1028" name="Rectangle 3"/>
                <a:graphic xmlns:a="http://schemas.openxmlformats.org/drawingml/2006/main">
                  <a:graphicData uri="http://schemas.microsoft.com/office/word/2010/wordprocessingShape">
                    <wps:wsp>
                      <wps:cNvPr id="1028" name="Rectangle 3"/>
                      <wps:cNvSpPr>
                        <a:spLocks noChangeArrowheads="1"/>
                      </wps:cNvSpPr>
                      <wps:spPr>
                        <a:xfrm>
                          <a:off x="0" y="0"/>
                          <a:ext cx="457200" cy="342900"/>
                        </a:xfrm>
                        <a:prstGeom prst="rect">
                          <a:avLst/>
                        </a:prstGeom>
                        <a:solidFill>
                          <a:srgbClr val="FFFFFF"/>
                        </a:solidFill>
                        <a:ln>
                          <a:noFill/>
                        </a:ln>
                      </wps:spPr>
                      <wps:bodyPr/>
                    </wps:wsp>
                  </a:graphicData>
                </a:graphic>
              </wp:anchor>
            </w:drawing>
          </mc:Choice>
          <mc:Fallback>
            <w:pict>
              <v:rect id="Rectangle 3" style="z-index:3;height:27pt;mso-wrap-distance-left:9pt;width:36pt;mso-wrap-distance-top:0pt;mso-position-horizontal-relative:text;position:absolute;margin-top:29.5pt;margin-left:185.5pt;mso-position-vertical-relative:text;mso-wrap-distance-bottom:0pt;mso-wrap-distance-right:9pt;" o:spid="_x0000_s1028" o:allowincell="t" o:allowoverlap="t" filled="t" fillcolor="#ffffff" stroked="f" o:spt="1">
                <v:fill/>
                <v:textbox style="layout-flow:horizontal;"/>
                <v:imagedata o:title=""/>
                <w10:wrap type="none" anchorx="text" anchory="text"/>
              </v:rect>
            </w:pict>
          </mc:Fallback>
        </mc:AlternateContent>
      </w:r>
      <w:r>
        <w:rPr>
          <w:rFonts w:hint="eastAsia" w:ascii="ＭＳ 明朝" w:hAnsi="ＭＳ 明朝"/>
          <w:color w:val="auto"/>
        </w:rPr>
        <mc:AlternateContent>
          <mc:Choice Requires="wps">
            <w:drawing>
              <wp:anchor distT="0" distB="0" distL="114300" distR="114300" simplePos="0" relativeHeight="7" behindDoc="0" locked="0" layoutInCell="1" hidden="0" allowOverlap="1">
                <wp:simplePos x="0" y="0"/>
                <wp:positionH relativeFrom="margin">
                  <wp:posOffset>4516120</wp:posOffset>
                </wp:positionH>
                <wp:positionV relativeFrom="paragraph">
                  <wp:posOffset>295275</wp:posOffset>
                </wp:positionV>
                <wp:extent cx="514985" cy="407670"/>
                <wp:effectExtent l="635" t="635" r="29845" b="10795"/>
                <wp:wrapNone/>
                <wp:docPr id="1029" name="Rectangle 7"/>
                <a:graphic xmlns:a="http://schemas.openxmlformats.org/drawingml/2006/main">
                  <a:graphicData uri="http://schemas.microsoft.com/office/word/2010/wordprocessingShape">
                    <wps:wsp>
                      <wps:cNvPr id="1029" name="Rectangle 7"/>
                      <wps:cNvSpPr>
                        <a:spLocks noChangeArrowheads="1"/>
                      </wps:cNvSpPr>
                      <wps:spPr>
                        <a:xfrm>
                          <a:off x="0" y="0"/>
                          <a:ext cx="514985" cy="407670"/>
                        </a:xfrm>
                        <a:prstGeom prst="rect">
                          <a:avLst/>
                        </a:prstGeom>
                        <a:solidFill>
                          <a:srgbClr val="FFFFFF"/>
                        </a:solidFill>
                        <a:ln w="9525">
                          <a:solidFill>
                            <a:srgbClr val="FFFFFF"/>
                          </a:solidFill>
                          <a:miter lim="800000"/>
                          <a:headEnd/>
                          <a:tailEnd/>
                        </a:ln>
                      </wps:spPr>
                      <wps:bodyPr/>
                    </wps:wsp>
                  </a:graphicData>
                </a:graphic>
              </wp:anchor>
            </w:drawing>
          </mc:Choice>
          <mc:Fallback>
            <w:pict>
              <v:rect id="Rectangle 7" style="z-index:7;height:32.1pt;mso-wrap-distance-left:9pt;width:40.54pt;mso-wrap-distance-top:0pt;mso-position-horizontal-relative:margin;position:absolute;margin-top:23.25pt;margin-left:355.6pt;mso-position-vertical-relative:text;mso-wrap-distance-bottom:0pt;mso-wrap-distance-right:9pt;" o:spid="_x0000_s1029" o:allowincell="t" o:allowoverlap="t" filled="t" fillcolor="#ffffff" stroked="t" strokecolor="#ffffff" strokeweight="0.75pt" o:spt="1">
                <v:fill/>
                <v:stroke miterlimit="8" filltype="solid"/>
                <v:textbox style="layout-flow:horizontal;"/>
                <v:imagedata o:title=""/>
                <w10:wrap type="none" anchorx="margin" anchory="text"/>
              </v:rect>
            </w:pict>
          </mc:Fallback>
        </mc:AlternateContent>
      </w:r>
    </w:p>
    <w:p>
      <w:pPr>
        <w:pStyle w:val="0"/>
        <w:jc w:val="center"/>
        <w:rPr>
          <w:rFonts w:hint="default" w:ascii="ＭＳ 明朝" w:hAnsi="ＭＳ 明朝"/>
          <w:color w:val="auto"/>
        </w:rPr>
      </w:pPr>
      <w:r>
        <w:rPr>
          <w:rFonts w:hint="eastAsia" w:ascii="ＭＳ 明朝" w:hAnsi="ＭＳ 明朝"/>
          <w:color w:val="auto"/>
        </w:rPr>
        <w:t>目　　　　次</w:t>
      </w:r>
    </w:p>
    <w:p>
      <w:pPr>
        <w:pStyle w:val="0"/>
        <w:jc w:val="center"/>
        <w:rPr>
          <w:rFonts w:hint="default" w:ascii="ＭＳ 明朝" w:hAnsi="ＭＳ 明朝"/>
          <w:color w:val="auto"/>
          <w:sz w:val="22"/>
        </w:rPr>
      </w:pPr>
    </w:p>
    <w:p>
      <w:pPr>
        <w:pStyle w:val="0"/>
        <w:rPr>
          <w:rFonts w:hint="default" w:ascii="ＭＳ 明朝" w:hAnsi="ＭＳ 明朝"/>
          <w:color w:val="auto"/>
          <w:sz w:val="22"/>
        </w:rPr>
      </w:pPr>
      <w:r>
        <w:rPr>
          <w:rFonts w:hint="eastAsia" w:ascii="ＭＳ 明朝" w:hAnsi="ＭＳ 明朝"/>
          <w:b w:val="1"/>
          <w:color w:val="auto"/>
          <w:sz w:val="22"/>
        </w:rPr>
        <w:t>Ⅰ　上三川町における「教育委員会の点検・評価」について</w:t>
      </w:r>
      <w:r>
        <w:rPr>
          <w:rFonts w:hint="eastAsia" w:ascii="ＭＳ 明朝" w:hAnsi="ＭＳ 明朝"/>
          <w:color w:val="auto"/>
          <w:sz w:val="22"/>
        </w:rPr>
        <w:t>・・・・・・・・　１Ｐ</w:t>
      </w:r>
    </w:p>
    <w:p>
      <w:pPr>
        <w:pStyle w:val="0"/>
        <w:jc w:val="center"/>
        <w:rPr>
          <w:rFonts w:hint="default" w:ascii="ＭＳ 明朝" w:hAnsi="ＭＳ 明朝"/>
          <w:color w:val="auto"/>
          <w:sz w:val="22"/>
        </w:rPr>
      </w:pPr>
    </w:p>
    <w:p>
      <w:pPr>
        <w:pStyle w:val="0"/>
        <w:rPr>
          <w:rFonts w:hint="default" w:ascii="ＭＳ 明朝" w:hAnsi="ＭＳ 明朝"/>
          <w:b w:val="1"/>
          <w:color w:val="auto"/>
          <w:sz w:val="22"/>
        </w:rPr>
      </w:pPr>
      <w:r>
        <w:rPr>
          <w:rFonts w:hint="eastAsia" w:ascii="ＭＳ 明朝" w:hAnsi="ＭＳ 明朝"/>
          <w:b w:val="1"/>
          <w:color w:val="auto"/>
          <w:sz w:val="22"/>
        </w:rPr>
        <w:t>Ⅱ　教育に関する事務の執行状況の点検及び評価</w:t>
      </w:r>
    </w:p>
    <w:p>
      <w:pPr>
        <w:pStyle w:val="0"/>
        <w:jc w:val="center"/>
        <w:rPr>
          <w:rFonts w:hint="default" w:ascii="ＭＳ 明朝" w:hAnsi="ＭＳ 明朝"/>
          <w:color w:val="auto"/>
          <w:sz w:val="22"/>
        </w:rPr>
      </w:pPr>
    </w:p>
    <w:p>
      <w:pPr>
        <w:pStyle w:val="0"/>
        <w:rPr>
          <w:rFonts w:hint="default" w:ascii="ＭＳ 明朝" w:hAnsi="ＭＳ 明朝"/>
          <w:color w:val="auto"/>
          <w:sz w:val="22"/>
        </w:rPr>
      </w:pPr>
      <w:r>
        <w:rPr>
          <w:rFonts w:hint="eastAsia" w:ascii="ＭＳ 明朝" w:hAnsi="ＭＳ 明朝"/>
          <w:color w:val="auto"/>
          <w:sz w:val="22"/>
        </w:rPr>
        <w:t>　第１章　学校教育の充実</w:t>
      </w:r>
    </w:p>
    <w:p>
      <w:pPr>
        <w:pStyle w:val="0"/>
        <w:rPr>
          <w:rFonts w:hint="default" w:ascii="ＭＳ 明朝" w:hAnsi="ＭＳ 明朝"/>
          <w:color w:val="auto"/>
          <w:sz w:val="22"/>
        </w:rPr>
      </w:pPr>
      <w:r>
        <w:rPr>
          <w:rFonts w:hint="eastAsia" w:ascii="ＭＳ 明朝" w:hAnsi="ＭＳ 明朝"/>
          <w:color w:val="auto"/>
          <w:sz w:val="22"/>
        </w:rPr>
        <w:t>　　</w:t>
      </w:r>
      <w:r>
        <w:rPr>
          <w:rFonts w:hint="default" w:ascii="ＭＳ 明朝" w:hAnsi="ＭＳ 明朝"/>
          <w:color w:val="auto"/>
          <w:sz w:val="22"/>
        </w:rPr>
        <w:t>➊</w:t>
      </w:r>
      <w:r>
        <w:rPr>
          <w:rFonts w:hint="eastAsia" w:ascii="ＭＳ 明朝" w:hAnsi="ＭＳ 明朝"/>
          <w:color w:val="auto"/>
          <w:sz w:val="22"/>
        </w:rPr>
        <w:t>　特色ある教育活動の推進・・・・・・・・・・・・・・・・・・・・　２Ｐ</w:t>
      </w:r>
    </w:p>
    <w:p>
      <w:pPr>
        <w:pStyle w:val="0"/>
        <w:rPr>
          <w:rFonts w:hint="default" w:ascii="ＭＳ 明朝" w:hAnsi="ＭＳ 明朝"/>
          <w:color w:val="auto"/>
          <w:sz w:val="22"/>
        </w:rPr>
      </w:pPr>
      <w:r>
        <w:rPr>
          <w:rFonts w:hint="eastAsia" w:ascii="ＭＳ 明朝" w:hAnsi="ＭＳ 明朝"/>
          <w:color w:val="auto"/>
          <w:sz w:val="22"/>
        </w:rPr>
        <w:t>　　</w:t>
      </w:r>
      <w:r>
        <w:rPr>
          <w:rFonts w:hint="default" w:ascii="ＭＳ 明朝" w:hAnsi="ＭＳ 明朝"/>
          <w:color w:val="auto"/>
          <w:sz w:val="22"/>
        </w:rPr>
        <w:t>➋</w:t>
      </w:r>
      <w:r>
        <w:rPr>
          <w:rFonts w:hint="eastAsia" w:ascii="ＭＳ 明朝" w:hAnsi="ＭＳ 明朝"/>
          <w:color w:val="auto"/>
          <w:sz w:val="22"/>
        </w:rPr>
        <w:t>　教育支援体制の充実・・・・・・・・・・・・・・・・・・・・・・　４Ｐ</w:t>
      </w:r>
    </w:p>
    <w:p>
      <w:pPr>
        <w:pStyle w:val="0"/>
        <w:rPr>
          <w:rFonts w:hint="default" w:ascii="ＭＳ 明朝" w:hAnsi="ＭＳ 明朝"/>
          <w:color w:val="auto"/>
          <w:sz w:val="22"/>
        </w:rPr>
      </w:pPr>
      <w:r>
        <w:rPr>
          <w:rFonts w:hint="eastAsia" w:ascii="ＭＳ 明朝" w:hAnsi="ＭＳ 明朝"/>
          <w:color w:val="auto"/>
          <w:sz w:val="22"/>
        </w:rPr>
        <w:t>　　</w:t>
      </w:r>
      <w:r>
        <w:rPr>
          <w:rFonts w:hint="default" w:ascii="ＭＳ 明朝" w:hAnsi="ＭＳ 明朝"/>
          <w:color w:val="auto"/>
          <w:sz w:val="22"/>
        </w:rPr>
        <w:t>➌</w:t>
      </w:r>
      <w:r>
        <w:rPr>
          <w:rFonts w:hint="eastAsia" w:ascii="ＭＳ 明朝" w:hAnsi="ＭＳ 明朝"/>
          <w:color w:val="auto"/>
          <w:sz w:val="22"/>
        </w:rPr>
        <w:t>　健康・体力づくりの推進　　・・・・・・・・・・・・・・・・・・　７Ｐ</w:t>
      </w:r>
    </w:p>
    <w:p>
      <w:pPr>
        <w:pStyle w:val="0"/>
        <w:rPr>
          <w:rFonts w:hint="default" w:ascii="ＭＳ 明朝" w:hAnsi="ＭＳ 明朝"/>
          <w:color w:val="auto"/>
          <w:sz w:val="22"/>
        </w:rPr>
      </w:pPr>
      <w:r>
        <w:rPr>
          <w:rFonts w:hint="eastAsia" w:ascii="ＭＳ 明朝" w:hAnsi="ＭＳ 明朝"/>
          <w:color w:val="auto"/>
          <w:sz w:val="22"/>
        </w:rPr>
        <w:t>　　</w:t>
      </w:r>
      <w:r>
        <w:rPr>
          <w:rFonts w:hint="default" w:ascii="ＭＳ 明朝" w:hAnsi="ＭＳ 明朝"/>
          <w:color w:val="auto"/>
          <w:sz w:val="22"/>
        </w:rPr>
        <w:t>➍</w:t>
      </w:r>
      <w:r>
        <w:rPr>
          <w:rFonts w:hint="eastAsia" w:ascii="ＭＳ 明朝" w:hAnsi="ＭＳ 明朝"/>
          <w:color w:val="auto"/>
          <w:sz w:val="22"/>
        </w:rPr>
        <w:t>　学校施設・設備の整備・・・・・・・・・・・・　・・・・・・・・　８Ｐ</w:t>
      </w:r>
    </w:p>
    <w:p>
      <w:pPr>
        <w:pStyle w:val="0"/>
        <w:rPr>
          <w:rFonts w:hint="default" w:ascii="ＭＳ 明朝" w:hAnsi="ＭＳ 明朝"/>
          <w:color w:val="auto"/>
          <w:sz w:val="22"/>
        </w:rPr>
      </w:pPr>
    </w:p>
    <w:p>
      <w:pPr>
        <w:pStyle w:val="0"/>
        <w:rPr>
          <w:rFonts w:hint="default" w:ascii="ＭＳ 明朝" w:hAnsi="ＭＳ 明朝"/>
          <w:color w:val="auto"/>
          <w:sz w:val="22"/>
        </w:rPr>
      </w:pPr>
      <w:r>
        <w:rPr>
          <w:rFonts w:hint="eastAsia" w:ascii="ＭＳ 明朝" w:hAnsi="ＭＳ 明朝"/>
          <w:color w:val="auto"/>
          <w:sz w:val="22"/>
        </w:rPr>
        <w:t>　第２章　生涯学習の充実</w:t>
      </w:r>
    </w:p>
    <w:p>
      <w:pPr>
        <w:pStyle w:val="0"/>
        <w:rPr>
          <w:rFonts w:hint="default" w:ascii="ＭＳ 明朝" w:hAnsi="ＭＳ 明朝"/>
          <w:color w:val="auto"/>
          <w:sz w:val="22"/>
        </w:rPr>
      </w:pPr>
      <w:r>
        <w:rPr>
          <w:rFonts w:hint="eastAsia" w:ascii="ＭＳ 明朝" w:hAnsi="ＭＳ 明朝"/>
          <w:color w:val="auto"/>
          <w:sz w:val="22"/>
        </w:rPr>
        <w:t>　　❶　生涯学習の積極的推進・・・・・・・・・・・・・・・・・・・・・１０Ｐ</w:t>
      </w:r>
    </w:p>
    <w:p>
      <w:pPr>
        <w:pStyle w:val="0"/>
        <w:rPr>
          <w:rFonts w:hint="default" w:ascii="ＭＳ 明朝" w:hAnsi="ＭＳ 明朝"/>
          <w:color w:val="auto"/>
          <w:sz w:val="22"/>
        </w:rPr>
      </w:pPr>
      <w:r>
        <w:rPr>
          <w:rFonts w:hint="eastAsia" w:ascii="ＭＳ 明朝" w:hAnsi="ＭＳ 明朝"/>
          <w:color w:val="auto"/>
          <w:sz w:val="22"/>
        </w:rPr>
        <w:t>　　</w:t>
      </w:r>
      <w:r>
        <w:rPr>
          <w:rFonts w:hint="default" w:ascii="ＭＳ 明朝" w:hAnsi="ＭＳ 明朝"/>
          <w:color w:val="auto"/>
          <w:sz w:val="22"/>
        </w:rPr>
        <w:t>➋</w:t>
      </w:r>
      <w:r>
        <w:rPr>
          <w:rFonts w:hint="eastAsia" w:ascii="ＭＳ 明朝" w:hAnsi="ＭＳ 明朝"/>
          <w:color w:val="auto"/>
          <w:sz w:val="22"/>
        </w:rPr>
        <w:t>　生涯学習センター事業執行体制の充実と学習機会の拡大・・・・・・１１Ｐ</w:t>
      </w:r>
    </w:p>
    <w:p>
      <w:pPr>
        <w:pStyle w:val="0"/>
        <w:rPr>
          <w:rFonts w:hint="default" w:ascii="ＭＳ 明朝" w:hAnsi="ＭＳ 明朝"/>
          <w:color w:val="auto"/>
          <w:sz w:val="22"/>
        </w:rPr>
      </w:pPr>
      <w:r>
        <w:rPr>
          <w:rFonts w:hint="eastAsia" w:ascii="ＭＳ 明朝" w:hAnsi="ＭＳ 明朝"/>
          <w:color w:val="auto"/>
          <w:sz w:val="22"/>
        </w:rPr>
        <w:t>　　</w:t>
      </w:r>
      <w:r>
        <w:rPr>
          <w:rFonts w:hint="default" w:ascii="ＭＳ 明朝" w:hAnsi="ＭＳ 明朝"/>
          <w:color w:val="auto"/>
          <w:sz w:val="22"/>
        </w:rPr>
        <w:t>➌</w:t>
      </w:r>
      <w:r>
        <w:rPr>
          <w:rFonts w:hint="eastAsia" w:ascii="ＭＳ 明朝" w:hAnsi="ＭＳ 明朝"/>
          <w:color w:val="auto"/>
          <w:sz w:val="22"/>
        </w:rPr>
        <w:t>　生涯学習事業についての情報提供と交流の促進・・・・・・・・・・１２Ｐ</w:t>
      </w:r>
    </w:p>
    <w:p>
      <w:pPr>
        <w:pStyle w:val="0"/>
        <w:rPr>
          <w:rFonts w:hint="default" w:ascii="ＭＳ 明朝" w:hAnsi="ＭＳ 明朝"/>
          <w:color w:val="auto"/>
          <w:sz w:val="22"/>
        </w:rPr>
      </w:pPr>
      <w:r>
        <w:rPr>
          <w:rFonts w:hint="eastAsia" w:ascii="ＭＳ 明朝" w:hAnsi="ＭＳ 明朝"/>
          <w:color w:val="auto"/>
          <w:sz w:val="22"/>
        </w:rPr>
        <w:t>　　</w:t>
      </w:r>
      <w:r>
        <w:rPr>
          <w:rFonts w:hint="default" w:ascii="ＭＳ 明朝" w:hAnsi="ＭＳ 明朝"/>
          <w:color w:val="auto"/>
          <w:sz w:val="22"/>
        </w:rPr>
        <w:t>➍</w:t>
      </w:r>
      <w:r>
        <w:rPr>
          <w:rFonts w:hint="eastAsia" w:ascii="ＭＳ 明朝" w:hAnsi="ＭＳ 明朝"/>
          <w:color w:val="auto"/>
          <w:sz w:val="22"/>
        </w:rPr>
        <w:t>　「ほんの里かみのかわ」づくり・・・・・・・・・・・・・・・・・１４Ｐ</w:t>
      </w:r>
    </w:p>
    <w:p>
      <w:pPr>
        <w:pStyle w:val="0"/>
        <w:rPr>
          <w:rFonts w:hint="default" w:ascii="ＭＳ 明朝" w:hAnsi="ＭＳ 明朝"/>
          <w:color w:val="auto"/>
          <w:sz w:val="22"/>
        </w:rPr>
      </w:pPr>
    </w:p>
    <w:p>
      <w:pPr>
        <w:pStyle w:val="0"/>
        <w:rPr>
          <w:rFonts w:hint="default" w:ascii="ＭＳ 明朝" w:hAnsi="ＭＳ 明朝"/>
          <w:color w:val="auto"/>
          <w:sz w:val="22"/>
        </w:rPr>
      </w:pPr>
      <w:r>
        <w:rPr>
          <w:rFonts w:hint="eastAsia" w:ascii="ＭＳ 明朝" w:hAnsi="ＭＳ 明朝"/>
          <w:color w:val="auto"/>
          <w:sz w:val="22"/>
        </w:rPr>
        <w:t>　第３章　芸術・文化の振興</w:t>
      </w:r>
    </w:p>
    <w:p>
      <w:pPr>
        <w:pStyle w:val="0"/>
        <w:rPr>
          <w:rFonts w:hint="default" w:ascii="ＭＳ 明朝" w:hAnsi="ＭＳ 明朝"/>
          <w:color w:val="auto"/>
          <w:sz w:val="22"/>
        </w:rPr>
      </w:pPr>
      <w:r>
        <w:rPr>
          <w:rFonts w:hint="eastAsia" w:ascii="ＭＳ 明朝" w:hAnsi="ＭＳ 明朝"/>
          <w:color w:val="auto"/>
          <w:sz w:val="22"/>
        </w:rPr>
        <w:t>　　</w:t>
      </w:r>
      <w:r>
        <w:rPr>
          <w:rFonts w:hint="default" w:ascii="ＭＳ 明朝" w:hAnsi="ＭＳ 明朝"/>
          <w:color w:val="auto"/>
          <w:sz w:val="22"/>
        </w:rPr>
        <w:t>➊</w:t>
      </w:r>
      <w:r>
        <w:rPr>
          <w:rFonts w:hint="eastAsia" w:ascii="ＭＳ 明朝" w:hAnsi="ＭＳ 明朝"/>
          <w:color w:val="auto"/>
          <w:sz w:val="22"/>
        </w:rPr>
        <w:t>　芸術・文化活動の活性化・・・・・・・・・・・・・・・・・・・・１５Ｐ</w:t>
      </w:r>
    </w:p>
    <w:p>
      <w:pPr>
        <w:pStyle w:val="0"/>
        <w:rPr>
          <w:rFonts w:hint="default" w:ascii="ＭＳ 明朝" w:hAnsi="ＭＳ 明朝"/>
          <w:color w:val="auto"/>
          <w:sz w:val="22"/>
        </w:rPr>
      </w:pPr>
      <w:r>
        <w:rPr>
          <w:rFonts w:hint="eastAsia" w:ascii="ＭＳ 明朝" w:hAnsi="ＭＳ 明朝"/>
          <w:color w:val="auto"/>
          <w:sz w:val="22"/>
        </w:rPr>
        <w:t>　　</w:t>
      </w:r>
      <w:r>
        <w:rPr>
          <w:rFonts w:hint="default" w:ascii="ＭＳ 明朝" w:hAnsi="ＭＳ 明朝"/>
          <w:color w:val="auto"/>
          <w:sz w:val="22"/>
        </w:rPr>
        <w:t>➋</w:t>
      </w:r>
      <w:r>
        <w:rPr>
          <w:rFonts w:hint="eastAsia" w:ascii="ＭＳ 明朝" w:hAnsi="ＭＳ 明朝"/>
          <w:color w:val="auto"/>
          <w:sz w:val="22"/>
        </w:rPr>
        <w:t>　文化遺産の保存・活用・・・・・・・・・・・・・・・・・・・・・１７Ｐ</w:t>
      </w:r>
    </w:p>
    <w:p>
      <w:pPr>
        <w:pStyle w:val="0"/>
        <w:rPr>
          <w:rFonts w:hint="default" w:ascii="ＭＳ 明朝" w:hAnsi="ＭＳ 明朝"/>
          <w:color w:val="auto"/>
          <w:sz w:val="22"/>
        </w:rPr>
      </w:pPr>
    </w:p>
    <w:p>
      <w:pPr>
        <w:pStyle w:val="0"/>
        <w:rPr>
          <w:rFonts w:hint="default" w:ascii="ＭＳ 明朝" w:hAnsi="ＭＳ 明朝"/>
          <w:color w:val="auto"/>
          <w:sz w:val="22"/>
        </w:rPr>
      </w:pPr>
      <w:r>
        <w:rPr>
          <w:rFonts w:hint="eastAsia" w:ascii="ＭＳ 明朝" w:hAnsi="ＭＳ 明朝"/>
          <w:color w:val="auto"/>
          <w:sz w:val="22"/>
        </w:rPr>
        <w:t>　第４章　スポーツの振興</w:t>
      </w:r>
    </w:p>
    <w:p>
      <w:pPr>
        <w:pStyle w:val="0"/>
        <w:rPr>
          <w:rFonts w:hint="default" w:ascii="ＭＳ 明朝" w:hAnsi="ＭＳ 明朝"/>
          <w:color w:val="auto"/>
          <w:sz w:val="22"/>
        </w:rPr>
      </w:pPr>
      <w:r>
        <w:rPr>
          <w:rFonts w:hint="eastAsia" w:ascii="ＭＳ 明朝" w:hAnsi="ＭＳ 明朝"/>
          <w:color w:val="auto"/>
          <w:sz w:val="22"/>
        </w:rPr>
        <w:t>　　</w:t>
      </w:r>
      <w:r>
        <w:rPr>
          <w:rFonts w:hint="default" w:ascii="ＭＳ 明朝" w:hAnsi="ＭＳ 明朝"/>
          <w:color w:val="auto"/>
          <w:sz w:val="22"/>
        </w:rPr>
        <w:t>➊</w:t>
      </w:r>
      <w:r>
        <w:rPr>
          <w:rFonts w:hint="eastAsia" w:ascii="ＭＳ 明朝" w:hAnsi="ＭＳ 明朝"/>
          <w:color w:val="auto"/>
          <w:sz w:val="22"/>
        </w:rPr>
        <w:t>　スポーツ活動の普及・・・・・・・・・・・・・・・・・・・・・・１９Ｐ</w:t>
      </w:r>
    </w:p>
    <w:p>
      <w:pPr>
        <w:pStyle w:val="0"/>
        <w:rPr>
          <w:rFonts w:hint="default" w:ascii="ＭＳ 明朝" w:hAnsi="ＭＳ 明朝"/>
          <w:color w:val="auto"/>
          <w:sz w:val="22"/>
        </w:rPr>
      </w:pPr>
      <w:r>
        <w:rPr>
          <w:rFonts w:hint="eastAsia" w:ascii="ＭＳ 明朝" w:hAnsi="ＭＳ 明朝"/>
          <w:color w:val="auto"/>
          <w:sz w:val="22"/>
        </w:rPr>
        <w:t>　　</w:t>
      </w:r>
      <w:r>
        <w:rPr>
          <w:rFonts w:hint="default" w:ascii="ＭＳ 明朝" w:hAnsi="ＭＳ 明朝"/>
          <w:color w:val="auto"/>
          <w:sz w:val="22"/>
        </w:rPr>
        <w:t>➋</w:t>
      </w:r>
      <w:r>
        <w:rPr>
          <w:rFonts w:hint="eastAsia" w:ascii="ＭＳ 明朝" w:hAnsi="ＭＳ 明朝"/>
          <w:color w:val="auto"/>
          <w:sz w:val="22"/>
        </w:rPr>
        <w:t>　スポーツ施設の充実・・・・・・・・・・・・・・・・・・・・・・２０Ｐ</w:t>
      </w:r>
    </w:p>
    <w:p>
      <w:pPr>
        <w:pStyle w:val="0"/>
        <w:rPr>
          <w:rFonts w:hint="default" w:ascii="ＭＳ 明朝" w:hAnsi="ＭＳ 明朝"/>
          <w:color w:val="auto"/>
          <w:sz w:val="22"/>
        </w:rPr>
      </w:pPr>
    </w:p>
    <w:p>
      <w:pPr>
        <w:pStyle w:val="0"/>
        <w:rPr>
          <w:rFonts w:hint="default" w:ascii="ＭＳ 明朝" w:hAnsi="ＭＳ 明朝"/>
          <w:color w:val="auto"/>
          <w:sz w:val="22"/>
        </w:rPr>
      </w:pPr>
      <w:r>
        <w:rPr>
          <w:rFonts w:hint="eastAsia" w:ascii="ＭＳ 明朝" w:hAnsi="ＭＳ 明朝"/>
          <w:b w:val="1"/>
          <w:color w:val="auto"/>
          <w:sz w:val="22"/>
        </w:rPr>
        <w:t>Ⅲ　教育委員会の活動状況について</w:t>
      </w:r>
      <w:r>
        <w:rPr>
          <w:rFonts w:hint="eastAsia" w:ascii="ＭＳ 明朝" w:hAnsi="ＭＳ 明朝"/>
          <w:color w:val="auto"/>
          <w:sz w:val="22"/>
        </w:rPr>
        <w:t>・・・・・・・・・・・・・・・・・・・２２Ｐ</w:t>
      </w:r>
    </w:p>
    <w:p>
      <w:pPr>
        <w:pStyle w:val="0"/>
        <w:jc w:val="center"/>
        <w:rPr>
          <w:rFonts w:hint="default" w:ascii="ＭＳ 明朝" w:hAnsi="ＭＳ 明朝"/>
          <w:color w:val="auto"/>
          <w:sz w:val="22"/>
        </w:rPr>
      </w:pPr>
    </w:p>
    <w:p>
      <w:pPr>
        <w:pStyle w:val="0"/>
        <w:jc w:val="center"/>
        <w:rPr>
          <w:rFonts w:hint="default"/>
          <w:color w:val="auto"/>
          <w:sz w:val="22"/>
        </w:rPr>
      </w:pPr>
      <w:r>
        <w:rPr>
          <w:rFonts w:hint="eastAsia"/>
          <w:color w:val="auto"/>
        </w:rPr>
        <mc:AlternateContent>
          <mc:Choice Requires="wps">
            <w:drawing>
              <wp:anchor distT="0" distB="0" distL="114300" distR="114300" simplePos="0" relativeHeight="8" behindDoc="0" locked="0" layoutInCell="1" hidden="0" allowOverlap="1">
                <wp:simplePos x="0" y="0"/>
                <wp:positionH relativeFrom="column">
                  <wp:posOffset>2423795</wp:posOffset>
                </wp:positionH>
                <wp:positionV relativeFrom="paragraph">
                  <wp:posOffset>1997710</wp:posOffset>
                </wp:positionV>
                <wp:extent cx="570865" cy="307340"/>
                <wp:effectExtent l="635" t="635" r="29845" b="10795"/>
                <wp:wrapNone/>
                <wp:docPr id="1030" name="Rectangle 8"/>
                <a:graphic xmlns:a="http://schemas.openxmlformats.org/drawingml/2006/main">
                  <a:graphicData uri="http://schemas.microsoft.com/office/word/2010/wordprocessingShape">
                    <wps:wsp>
                      <wps:cNvPr id="1030" name="Rectangle 8"/>
                      <wps:cNvSpPr>
                        <a:spLocks noChangeArrowheads="1"/>
                      </wps:cNvSpPr>
                      <wps:spPr>
                        <a:xfrm>
                          <a:off x="0" y="0"/>
                          <a:ext cx="570865" cy="307340"/>
                        </a:xfrm>
                        <a:prstGeom prst="rect">
                          <a:avLst/>
                        </a:prstGeom>
                        <a:solidFill>
                          <a:srgbClr val="FFFFFF"/>
                        </a:solidFill>
                        <a:ln w="9525">
                          <a:solidFill>
                            <a:srgbClr val="FFFFFF"/>
                          </a:solidFill>
                          <a:miter lim="800000"/>
                          <a:headEnd/>
                          <a:tailEnd/>
                        </a:ln>
                      </wps:spPr>
                      <wps:bodyPr/>
                    </wps:wsp>
                  </a:graphicData>
                </a:graphic>
              </wp:anchor>
            </w:drawing>
          </mc:Choice>
          <mc:Fallback>
            <w:pict>
              <v:rect id="Rectangle 8" style="z-index:8;height:24.2pt;mso-wrap-distance-left:9pt;width:44.95pt;mso-wrap-distance-top:0pt;mso-position-horizontal-relative:text;position:absolute;margin-top:157.30000000000001pt;margin-left:190.85pt;mso-position-vertical-relative:text;mso-wrap-distance-bottom:0pt;mso-wrap-distance-right:9pt;" o:spid="_x0000_s1030" o:allowincell="t" o:allowoverlap="t" filled="t" fillcolor="#ffffff" stroked="t" strokecolor="#ffffff" strokeweight="0.75pt" o:spt="1">
                <v:fill/>
                <v:stroke miterlimit="8" filltype="solid"/>
                <v:textbox style="layout-flow:horizontal;"/>
                <v:imagedata o:title=""/>
                <w10:wrap type="none" anchorx="text" anchory="text"/>
              </v:rect>
            </w:pict>
          </mc:Fallback>
        </mc:AlternateContent>
      </w:r>
      <w:r>
        <w:rPr>
          <w:rFonts w:hint="eastAsia"/>
          <w:color w:val="auto"/>
        </w:rPr>
        <mc:AlternateContent>
          <mc:Choice Requires="wps">
            <w:drawing>
              <wp:anchor distT="0" distB="0" distL="114300" distR="114300" simplePos="0" relativeHeight="6" behindDoc="0" locked="0" layoutInCell="1" hidden="0" allowOverlap="1">
                <wp:simplePos x="0" y="0"/>
                <wp:positionH relativeFrom="column">
                  <wp:posOffset>2537460</wp:posOffset>
                </wp:positionH>
                <wp:positionV relativeFrom="paragraph">
                  <wp:posOffset>1409700</wp:posOffset>
                </wp:positionV>
                <wp:extent cx="457200" cy="342900"/>
                <wp:effectExtent l="0" t="0" r="635" b="635"/>
                <wp:wrapNone/>
                <wp:docPr id="1031" name="Rectangle 6"/>
                <a:graphic xmlns:a="http://schemas.openxmlformats.org/drawingml/2006/main">
                  <a:graphicData uri="http://schemas.microsoft.com/office/word/2010/wordprocessingShape">
                    <wps:wsp>
                      <wps:cNvPr id="1031" name="Rectangle 6"/>
                      <wps:cNvSpPr>
                        <a:spLocks noChangeArrowheads="1"/>
                      </wps:cNvSpPr>
                      <wps:spPr>
                        <a:xfrm>
                          <a:off x="0" y="0"/>
                          <a:ext cx="457200" cy="342900"/>
                        </a:xfrm>
                        <a:prstGeom prst="rect">
                          <a:avLst/>
                        </a:prstGeom>
                        <a:solidFill>
                          <a:srgbClr val="FFFFFF"/>
                        </a:solidFill>
                        <a:ln>
                          <a:noFill/>
                        </a:ln>
                      </wps:spPr>
                      <wps:bodyPr/>
                    </wps:wsp>
                  </a:graphicData>
                </a:graphic>
              </wp:anchor>
            </w:drawing>
          </mc:Choice>
          <mc:Fallback>
            <w:pict>
              <v:rect id="Rectangle 6" style="z-index:6;height:27pt;mso-wrap-distance-left:9pt;width:36pt;mso-wrap-distance-top:0pt;mso-position-horizontal-relative:text;position:absolute;margin-top:111pt;margin-left:199.8pt;mso-position-vertical-relative:text;mso-wrap-distance-bottom:0pt;mso-wrap-distance-right:9pt;" o:spid="_x0000_s1031" o:allowincell="t" o:allowoverlap="t" filled="t" fillcolor="#ffffff" stroked="f" o:spt="1">
                <v:fill/>
                <v:textbox style="layout-flow:horizontal;"/>
                <v:imagedata o:title=""/>
                <w10:wrap type="none" anchorx="text" anchory="text"/>
              </v:rect>
            </w:pict>
          </mc:Fallback>
        </mc:AlternateContent>
      </w:r>
      <w:r>
        <w:rPr>
          <w:rFonts w:hint="eastAsia"/>
          <w:color w:val="auto"/>
        </w:rPr>
        <mc:AlternateContent>
          <mc:Choice Requires="wps">
            <w:drawing>
              <wp:anchor distT="0" distB="0" distL="114300" distR="114300" simplePos="0" relativeHeight="4" behindDoc="0" locked="0" layoutInCell="1" hidden="0" allowOverlap="1">
                <wp:simplePos x="0" y="0"/>
                <wp:positionH relativeFrom="column">
                  <wp:posOffset>2514600</wp:posOffset>
                </wp:positionH>
                <wp:positionV relativeFrom="paragraph">
                  <wp:posOffset>1714500</wp:posOffset>
                </wp:positionV>
                <wp:extent cx="457200" cy="342900"/>
                <wp:effectExtent l="0" t="0" r="635" b="635"/>
                <wp:wrapNone/>
                <wp:docPr id="1032" name="Rectangle 4"/>
                <a:graphic xmlns:a="http://schemas.openxmlformats.org/drawingml/2006/main">
                  <a:graphicData uri="http://schemas.microsoft.com/office/word/2010/wordprocessingShape">
                    <wps:wsp>
                      <wps:cNvPr id="1032" name="Rectangle 4"/>
                      <wps:cNvSpPr>
                        <a:spLocks noChangeArrowheads="1"/>
                      </wps:cNvSpPr>
                      <wps:spPr>
                        <a:xfrm>
                          <a:off x="0" y="0"/>
                          <a:ext cx="457200" cy="342900"/>
                        </a:xfrm>
                        <a:prstGeom prst="rect">
                          <a:avLst/>
                        </a:prstGeom>
                        <a:solidFill>
                          <a:srgbClr val="FFFFFF"/>
                        </a:solidFill>
                        <a:ln>
                          <a:noFill/>
                        </a:ln>
                      </wps:spPr>
                      <wps:bodyPr/>
                    </wps:wsp>
                  </a:graphicData>
                </a:graphic>
              </wp:anchor>
            </w:drawing>
          </mc:Choice>
          <mc:Fallback>
            <w:pict>
              <v:rect id="Rectangle 4" style="z-index:4;height:27pt;mso-wrap-distance-left:9pt;width:36pt;mso-wrap-distance-top:0pt;mso-position-horizontal-relative:text;position:absolute;margin-top:135pt;margin-left:198pt;mso-position-vertical-relative:text;mso-wrap-distance-bottom:0pt;mso-wrap-distance-right:9pt;" o:spid="_x0000_s1032" o:allowincell="t" o:allowoverlap="t" filled="t" fillcolor="#ffffff" stroked="f" o:spt="1">
                <v:fill/>
                <v:textbox style="layout-flow:horizontal;"/>
                <v:imagedata o:title=""/>
                <w10:wrap type="none" anchorx="text" anchory="text"/>
              </v:rect>
            </w:pict>
          </mc:Fallback>
        </mc:AlternateContent>
      </w:r>
    </w:p>
    <w:p>
      <w:pPr>
        <w:rPr>
          <w:rFonts w:hint="default"/>
          <w:b w:val="1"/>
          <w:sz w:val="28"/>
        </w:rPr>
        <w:sectPr>
          <w:footerReference r:id="rId7" w:type="even"/>
          <w:footerReference r:id="rId8" w:type="default"/>
          <w:footerReference r:id="rId6" w:type="first"/>
          <w:pgSz w:w="11906" w:h="16838"/>
          <w:pgMar w:top="1985" w:right="1701" w:bottom="1701" w:left="1701" w:header="851" w:footer="992" w:gutter="0"/>
          <w:pgNumType w:fmt="numberInDash" w:start="0"/>
          <w:cols w:space="720"/>
          <w:titlePg w:val="1"/>
          <w:textDirection w:val="lrTb"/>
          <w:docGrid w:type="lines" w:linePitch="360"/>
        </w:sectPr>
      </w:pPr>
    </w:p>
    <w:p>
      <w:pPr>
        <w:pStyle w:val="0"/>
        <w:rPr>
          <w:rFonts w:hint="default" w:ascii="ＭＳ 明朝" w:hAnsi="ＭＳ 明朝"/>
          <w:b w:val="1"/>
          <w:color w:val="auto"/>
          <w:sz w:val="28"/>
        </w:rPr>
      </w:pPr>
      <w:r>
        <w:rPr>
          <w:rFonts w:hint="eastAsia" w:ascii="ＭＳ 明朝" w:hAnsi="ＭＳ 明朝"/>
          <w:b w:val="1"/>
          <w:color w:val="auto"/>
          <w:sz w:val="28"/>
        </w:rPr>
        <w:t>Ⅰ</w:t>
      </w:r>
      <w:r>
        <w:rPr>
          <w:rFonts w:hint="eastAsia" w:ascii="ＭＳ 明朝" w:hAnsi="ＭＳ 明朝"/>
          <w:b w:val="1"/>
          <w:color w:val="auto"/>
        </w:rPr>
        <w:t>　上三川町における「教育委員会の点検・評価」について</w:t>
      </w:r>
      <w:r>
        <w:rPr>
          <w:rFonts w:hint="default" w:ascii="ＭＳ 明朝" w:hAnsi="ＭＳ 明朝"/>
          <w:b w:val="1"/>
          <w:color w:val="auto"/>
        </w:rPr>
        <w:t xml:space="preserve">               </w:t>
      </w:r>
    </w:p>
    <w:p>
      <w:pPr>
        <w:pStyle w:val="0"/>
        <w:rPr>
          <w:rFonts w:hint="default" w:ascii="ＭＳ 明朝" w:hAnsi="ＭＳ 明朝"/>
          <w:b w:val="1"/>
          <w:color w:val="auto"/>
          <w:sz w:val="22"/>
        </w:rPr>
      </w:pPr>
      <w:r>
        <w:rPr>
          <w:rFonts w:hint="eastAsia" w:ascii="ＭＳ 明朝" w:hAnsi="ＭＳ 明朝"/>
          <w:b w:val="1"/>
          <w:color w:val="auto"/>
          <w:sz w:val="22"/>
        </w:rPr>
        <w:t>１　目的</w:t>
      </w:r>
    </w:p>
    <w:p>
      <w:pPr>
        <w:pStyle w:val="0"/>
        <w:ind w:left="220" w:hanging="220" w:hangingChars="100"/>
        <w:rPr>
          <w:rFonts w:hint="default" w:ascii="ＭＳ 明朝" w:hAnsi="ＭＳ 明朝"/>
          <w:color w:val="auto"/>
          <w:sz w:val="22"/>
        </w:rPr>
      </w:pPr>
      <w:r>
        <w:rPr>
          <w:rFonts w:hint="eastAsia" w:ascii="ＭＳ 明朝" w:hAnsi="ＭＳ 明朝"/>
          <w:color w:val="auto"/>
          <w:sz w:val="22"/>
        </w:rPr>
        <w:t>　　教育委員会が策定した基本方針に沿って、具体的な教育行政が適切に執行されているかどうかについて、教育委員会が自ら点検・評価を行うことにより、効果的な教育行政をより一層推進していくとともに、町民への説明責任を果たしていくことを目的とする。</w:t>
      </w:r>
    </w:p>
    <w:p>
      <w:pPr>
        <w:pStyle w:val="0"/>
        <w:rPr>
          <w:rFonts w:hint="default" w:ascii="ＭＳ 明朝" w:hAnsi="ＭＳ 明朝"/>
          <w:color w:val="auto"/>
          <w:sz w:val="22"/>
        </w:rPr>
      </w:pPr>
    </w:p>
    <w:p>
      <w:pPr>
        <w:pStyle w:val="0"/>
        <w:rPr>
          <w:rFonts w:hint="default" w:ascii="ＭＳ 明朝" w:hAnsi="ＭＳ 明朝"/>
          <w:b w:val="1"/>
          <w:color w:val="auto"/>
          <w:sz w:val="22"/>
        </w:rPr>
      </w:pPr>
      <w:r>
        <w:rPr>
          <w:rFonts w:hint="eastAsia" w:ascii="ＭＳ 明朝" w:hAnsi="ＭＳ 明朝"/>
          <w:b w:val="1"/>
          <w:color w:val="auto"/>
          <w:sz w:val="22"/>
        </w:rPr>
        <w:t>２　点検・評価の対象</w:t>
      </w:r>
    </w:p>
    <w:p>
      <w:pPr>
        <w:pStyle w:val="0"/>
        <w:ind w:left="220" w:hanging="220" w:hangingChars="100"/>
        <w:rPr>
          <w:rFonts w:hint="default" w:ascii="ＭＳ 明朝" w:hAnsi="ＭＳ 明朝"/>
          <w:color w:val="auto"/>
          <w:sz w:val="22"/>
        </w:rPr>
      </w:pPr>
      <w:r>
        <w:rPr>
          <w:rFonts w:hint="eastAsia" w:ascii="ＭＳ 明朝" w:hAnsi="ＭＳ 明朝"/>
          <w:color w:val="auto"/>
          <w:sz w:val="22"/>
        </w:rPr>
        <w:t>　　対象となる教育行政の諸活動や諸事業は、上三川町第７次総合計画後期基本計画をもとに推進されており、教育委員会の点検・評価は、当計画に掲げられた項目の内、令和７年度の主要事業や新規事業、主な推進指標の進捗状況等を対象に実施する。</w:t>
      </w:r>
    </w:p>
    <w:p>
      <w:pPr>
        <w:pStyle w:val="0"/>
        <w:rPr>
          <w:rFonts w:hint="default" w:ascii="ＭＳ 明朝" w:hAnsi="ＭＳ 明朝"/>
          <w:color w:val="auto"/>
          <w:sz w:val="22"/>
        </w:rPr>
      </w:pPr>
      <w:r>
        <w:rPr>
          <w:rFonts w:hint="eastAsia" w:ascii="ＭＳ 明朝" w:hAnsi="ＭＳ 明朝"/>
          <w:color w:val="auto"/>
          <w:sz w:val="22"/>
        </w:rPr>
        <w:t>　</w:t>
      </w:r>
    </w:p>
    <w:p>
      <w:pPr>
        <w:pStyle w:val="0"/>
        <w:rPr>
          <w:rFonts w:hint="default" w:ascii="ＭＳ 明朝" w:hAnsi="ＭＳ 明朝"/>
          <w:b w:val="1"/>
          <w:color w:val="auto"/>
          <w:sz w:val="22"/>
        </w:rPr>
      </w:pPr>
      <w:r>
        <w:rPr>
          <w:rFonts w:hint="eastAsia" w:ascii="ＭＳ 明朝" w:hAnsi="ＭＳ 明朝"/>
          <w:b w:val="1"/>
          <w:color w:val="auto"/>
          <w:sz w:val="22"/>
        </w:rPr>
        <w:t>３　点検・評価の基本的な実施方法等</w:t>
      </w:r>
    </w:p>
    <w:p>
      <w:pPr>
        <w:pStyle w:val="0"/>
        <w:rPr>
          <w:rFonts w:hint="default" w:ascii="ＭＳ 明朝" w:hAnsi="ＭＳ 明朝"/>
          <w:color w:val="auto"/>
          <w:sz w:val="22"/>
        </w:rPr>
      </w:pPr>
      <w:r>
        <w:rPr>
          <w:rFonts w:hint="eastAsia" w:ascii="ＭＳ 明朝" w:hAnsi="ＭＳ 明朝"/>
          <w:color w:val="auto"/>
          <w:sz w:val="22"/>
        </w:rPr>
        <w:t>　（１）　点検・評価の実施方法</w:t>
      </w:r>
    </w:p>
    <w:p>
      <w:pPr>
        <w:pStyle w:val="0"/>
        <w:rPr>
          <w:rFonts w:hint="default" w:ascii="ＭＳ 明朝" w:hAnsi="ＭＳ 明朝"/>
          <w:color w:val="auto"/>
          <w:sz w:val="22"/>
        </w:rPr>
      </w:pPr>
      <w:r>
        <w:rPr>
          <w:rFonts w:hint="eastAsia" w:ascii="ＭＳ 明朝" w:hAnsi="ＭＳ 明朝"/>
          <w:color w:val="auto"/>
          <w:sz w:val="22"/>
        </w:rPr>
        <w:t>　　①　点検・評価の観点</w:t>
      </w:r>
    </w:p>
    <w:p>
      <w:pPr>
        <w:pStyle w:val="0"/>
        <w:ind w:left="660" w:hanging="660" w:hangingChars="300"/>
        <w:rPr>
          <w:rFonts w:hint="default" w:ascii="ＭＳ 明朝" w:hAnsi="ＭＳ 明朝"/>
          <w:color w:val="auto"/>
          <w:sz w:val="22"/>
        </w:rPr>
      </w:pPr>
      <w:r>
        <w:rPr>
          <w:rFonts w:hint="eastAsia" w:ascii="ＭＳ 明朝" w:hAnsi="ＭＳ 明朝"/>
          <w:color w:val="auto"/>
          <w:sz w:val="22"/>
        </w:rPr>
        <w:t>　　　　必要性、妥当性、効率性、有効性の観点から評価・点検を行った上で、事務事業全体の改善の余地について検討し、事務事業の方向性について総括を行う。</w:t>
      </w:r>
    </w:p>
    <w:p>
      <w:pPr>
        <w:pStyle w:val="0"/>
        <w:ind w:left="660" w:hanging="660" w:hangingChars="300"/>
        <w:rPr>
          <w:rFonts w:hint="default" w:ascii="ＭＳ 明朝" w:hAnsi="ＭＳ 明朝"/>
          <w:color w:val="auto"/>
          <w:sz w:val="22"/>
        </w:rPr>
      </w:pPr>
      <w:r>
        <w:rPr>
          <w:rFonts w:hint="eastAsia" w:ascii="ＭＳ 明朝" w:hAnsi="ＭＳ 明朝"/>
          <w:color w:val="auto"/>
          <w:sz w:val="22"/>
        </w:rPr>
        <w:t>　　②　点検・評価の主体及び方法</w:t>
      </w:r>
    </w:p>
    <w:p>
      <w:pPr>
        <w:pStyle w:val="0"/>
        <w:ind w:left="660" w:hanging="660" w:hangingChars="300"/>
        <w:rPr>
          <w:rFonts w:hint="default" w:ascii="ＭＳ 明朝" w:hAnsi="ＭＳ 明朝"/>
          <w:color w:val="auto"/>
          <w:sz w:val="22"/>
        </w:rPr>
      </w:pPr>
      <w:r>
        <w:rPr>
          <w:rFonts w:hint="eastAsia" w:ascii="ＭＳ 明朝" w:hAnsi="ＭＳ 明朝"/>
          <w:color w:val="auto"/>
          <w:sz w:val="22"/>
        </w:rPr>
        <w:t>　　　　教育委員会及び同事務局の全ての関係機関が自己評価を実施し、見識者（外部）の意見を聴取する。</w:t>
      </w:r>
    </w:p>
    <w:p>
      <w:pPr>
        <w:pStyle w:val="0"/>
        <w:rPr>
          <w:rFonts w:hint="default" w:ascii="ＭＳ 明朝" w:hAnsi="ＭＳ 明朝"/>
          <w:color w:val="auto"/>
          <w:sz w:val="22"/>
        </w:rPr>
      </w:pPr>
      <w:r>
        <w:rPr>
          <w:rFonts w:hint="eastAsia" w:ascii="ＭＳ 明朝" w:hAnsi="ＭＳ 明朝"/>
          <w:color w:val="auto"/>
          <w:sz w:val="22"/>
        </w:rPr>
        <w:t>　（２）　点検・評価報告書の提出及び公表</w:t>
      </w:r>
    </w:p>
    <w:p>
      <w:pPr>
        <w:pStyle w:val="0"/>
        <w:ind w:left="440" w:hanging="440" w:hangingChars="200"/>
        <w:rPr>
          <w:rFonts w:hint="default" w:ascii="ＭＳ 明朝" w:hAnsi="ＭＳ 明朝"/>
          <w:color w:val="auto"/>
          <w:sz w:val="22"/>
        </w:rPr>
      </w:pPr>
      <w:r>
        <w:rPr>
          <w:rFonts w:hint="eastAsia" w:ascii="ＭＳ 明朝" w:hAnsi="ＭＳ 明朝"/>
          <w:color w:val="auto"/>
          <w:sz w:val="22"/>
        </w:rPr>
        <w:t>　　　点検・評価報告書を作成し、報告書は上三川町のホームページに掲載する。</w:t>
      </w:r>
    </w:p>
    <w:p>
      <w:pPr>
        <w:pStyle w:val="0"/>
        <w:rPr>
          <w:rFonts w:hint="default" w:ascii="ＭＳ 明朝" w:hAnsi="ＭＳ 明朝"/>
          <w:color w:val="auto"/>
          <w:sz w:val="22"/>
        </w:rPr>
      </w:pPr>
      <w:r>
        <w:rPr>
          <w:rFonts w:hint="eastAsia" w:ascii="ＭＳ 明朝" w:hAnsi="ＭＳ 明朝"/>
          <w:color w:val="auto"/>
          <w:sz w:val="22"/>
        </w:rPr>
        <w:t>　　　※</w:t>
      </w:r>
      <w:r>
        <w:rPr>
          <w:rFonts w:hint="default" w:ascii="ＭＳ 明朝" w:hAnsi="ＭＳ 明朝"/>
          <w:color w:val="auto"/>
          <w:sz w:val="22"/>
        </w:rPr>
        <w:t>http</w:t>
      </w:r>
      <w:r>
        <w:rPr>
          <w:rFonts w:hint="eastAsia" w:ascii="ＭＳ 明朝" w:hAnsi="ＭＳ 明朝"/>
          <w:color w:val="auto"/>
          <w:sz w:val="22"/>
        </w:rPr>
        <w:t>s</w:t>
      </w:r>
      <w:r>
        <w:rPr>
          <w:rFonts w:hint="default" w:ascii="ＭＳ 明朝" w:hAnsi="ＭＳ 明朝"/>
          <w:color w:val="auto"/>
          <w:sz w:val="22"/>
        </w:rPr>
        <w:t>://www.town.kaminokawa.</w:t>
      </w:r>
      <w:r>
        <w:rPr>
          <w:rFonts w:hint="eastAsia" w:ascii="ＭＳ 明朝" w:hAnsi="ＭＳ 明朝"/>
          <w:color w:val="auto"/>
          <w:sz w:val="22"/>
        </w:rPr>
        <w:t>lg</w:t>
      </w:r>
      <w:r>
        <w:rPr>
          <w:rFonts w:hint="default" w:ascii="ＭＳ 明朝" w:hAnsi="ＭＳ 明朝"/>
          <w:color w:val="auto"/>
          <w:sz w:val="22"/>
        </w:rPr>
        <w:t>.jp</w:t>
      </w:r>
    </w:p>
    <w:p>
      <w:pPr>
        <w:pStyle w:val="0"/>
        <w:rPr>
          <w:rFonts w:hint="default" w:ascii="ＭＳ 明朝" w:hAnsi="ＭＳ 明朝"/>
          <w:color w:val="auto"/>
          <w:sz w:val="22"/>
        </w:rPr>
      </w:pPr>
    </w:p>
    <w:p>
      <w:pPr>
        <w:pStyle w:val="0"/>
        <w:rPr>
          <w:rFonts w:hint="default" w:ascii="ＭＳ 明朝" w:hAnsi="ＭＳ 明朝"/>
          <w:b w:val="1"/>
          <w:color w:val="auto"/>
          <w:sz w:val="22"/>
        </w:rPr>
      </w:pPr>
      <w:r>
        <w:rPr>
          <w:rFonts w:hint="eastAsia" w:ascii="ＭＳ 明朝" w:hAnsi="ＭＳ 明朝"/>
          <w:b w:val="1"/>
          <w:color w:val="auto"/>
          <w:sz w:val="22"/>
        </w:rPr>
        <w:t>４　意見聴取会の設置　　　　</w:t>
      </w:r>
    </w:p>
    <w:p>
      <w:pPr>
        <w:pStyle w:val="0"/>
        <w:ind w:left="220" w:hanging="220" w:hangingChars="100"/>
        <w:rPr>
          <w:rFonts w:hint="default" w:ascii="ＭＳ 明朝" w:hAnsi="ＭＳ 明朝"/>
          <w:color w:val="auto"/>
          <w:sz w:val="22"/>
        </w:rPr>
      </w:pPr>
      <w:r>
        <w:rPr>
          <w:rFonts w:hint="eastAsia" w:ascii="ＭＳ 明朝" w:hAnsi="ＭＳ 明朝"/>
          <w:color w:val="auto"/>
          <w:sz w:val="22"/>
        </w:rPr>
        <w:t>　　学識経験を有する者の知見の活用を図るため、意見聴取会を設置するものとし、意見聴取会は元小中学校長１名、生涯学習関係者２名、保護者１名の４名をもって組織し、点検・評価の都度依頼する。</w:t>
      </w:r>
    </w:p>
    <w:p>
      <w:pPr>
        <w:pStyle w:val="0"/>
        <w:jc w:val="center"/>
        <w:rPr>
          <w:rFonts w:hint="default" w:ascii="ＭＳ 明朝" w:hAnsi="ＭＳ 明朝"/>
          <w:color w:val="auto"/>
          <w:sz w:val="22"/>
        </w:rPr>
      </w:pPr>
      <w:r>
        <w:rPr>
          <w:rFonts w:hint="eastAsia" w:ascii="ＭＳ 明朝" w:hAnsi="ＭＳ 明朝"/>
          <w:color w:val="auto"/>
          <w:sz w:val="22"/>
        </w:rPr>
        <w:t>【意見聴取依頼者名簿】</w:t>
      </w:r>
    </w:p>
    <w:tbl>
      <w:tblPr>
        <w:tblStyle w:val="11"/>
        <w:tblW w:w="603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268"/>
        <w:gridCol w:w="3768"/>
      </w:tblGrid>
      <w:tr>
        <w:trPr/>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ＭＳ 明朝" w:hAnsi="ＭＳ 明朝"/>
                <w:color w:val="auto"/>
                <w:sz w:val="22"/>
              </w:rPr>
            </w:pPr>
            <w:r>
              <w:rPr>
                <w:rFonts w:hint="eastAsia" w:ascii="ＭＳ 明朝" w:hAnsi="ＭＳ 明朝"/>
                <w:color w:val="auto"/>
                <w:sz w:val="22"/>
              </w:rPr>
              <w:t>氏　　　名</w:t>
            </w:r>
          </w:p>
        </w:tc>
        <w:tc>
          <w:tcPr>
            <w:tcW w:w="37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ＭＳ 明朝" w:hAnsi="ＭＳ 明朝"/>
                <w:color w:val="auto"/>
                <w:sz w:val="22"/>
              </w:rPr>
            </w:pPr>
            <w:r>
              <w:rPr>
                <w:rFonts w:hint="eastAsia" w:ascii="ＭＳ 明朝" w:hAnsi="ＭＳ 明朝"/>
                <w:color w:val="auto"/>
                <w:sz w:val="22"/>
              </w:rPr>
              <w:t>備　　　　考</w:t>
            </w:r>
          </w:p>
        </w:tc>
      </w:tr>
      <w:tr>
        <w:trPr/>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firstLine="440" w:firstLineChars="200"/>
              <w:rPr>
                <w:rFonts w:hint="default" w:ascii="ＭＳ 明朝" w:hAnsi="ＭＳ 明朝"/>
                <w:color w:val="auto"/>
                <w:sz w:val="22"/>
              </w:rPr>
            </w:pPr>
            <w:r>
              <w:rPr>
                <w:rFonts w:hint="eastAsia" w:ascii="ＭＳ 明朝" w:hAnsi="ＭＳ 明朝"/>
                <w:color w:val="auto"/>
                <w:sz w:val="22"/>
              </w:rPr>
              <w:t>柴山　洋</w:t>
            </w:r>
          </w:p>
        </w:tc>
        <w:tc>
          <w:tcPr>
            <w:tcW w:w="37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ＭＳ 明朝" w:hAnsi="ＭＳ 明朝"/>
                <w:color w:val="auto"/>
                <w:sz w:val="22"/>
              </w:rPr>
            </w:pPr>
            <w:r>
              <w:rPr>
                <w:rFonts w:hint="eastAsia" w:ascii="ＭＳ 明朝" w:hAnsi="ＭＳ 明朝"/>
                <w:color w:val="auto"/>
                <w:sz w:val="22"/>
              </w:rPr>
              <w:t>元小学校長</w:t>
            </w:r>
          </w:p>
        </w:tc>
      </w:tr>
      <w:tr>
        <w:trPr/>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firstLine="440" w:firstLineChars="200"/>
              <w:rPr>
                <w:rFonts w:hint="default" w:ascii="ＭＳ 明朝" w:hAnsi="ＭＳ 明朝"/>
                <w:color w:val="auto"/>
                <w:sz w:val="22"/>
              </w:rPr>
            </w:pPr>
            <w:r>
              <w:rPr>
                <w:rFonts w:hint="eastAsia" w:ascii="ＭＳ 明朝" w:hAnsi="ＭＳ 明朝"/>
                <w:color w:val="auto"/>
                <w:sz w:val="22"/>
              </w:rPr>
              <w:t>菱沼　里美</w:t>
            </w:r>
          </w:p>
        </w:tc>
        <w:tc>
          <w:tcPr>
            <w:tcW w:w="37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ＭＳ 明朝" w:hAnsi="ＭＳ 明朝"/>
                <w:color w:val="auto"/>
                <w:sz w:val="22"/>
              </w:rPr>
            </w:pPr>
            <w:r>
              <w:rPr>
                <w:rFonts w:hint="eastAsia" w:ascii="ＭＳ 明朝" w:hAnsi="ＭＳ 明朝"/>
                <w:color w:val="auto"/>
                <w:sz w:val="22"/>
              </w:rPr>
              <w:t>社会教育委員　代表</w:t>
            </w:r>
          </w:p>
        </w:tc>
      </w:tr>
      <w:tr>
        <w:trPr/>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ＭＳ 明朝" w:hAnsi="ＭＳ 明朝"/>
                <w:color w:val="auto"/>
                <w:sz w:val="22"/>
              </w:rPr>
            </w:pPr>
            <w:r>
              <w:rPr>
                <w:rFonts w:hint="eastAsia" w:ascii="ＭＳ 明朝" w:hAnsi="ＭＳ 明朝"/>
                <w:color w:val="auto"/>
                <w:sz w:val="22"/>
              </w:rPr>
              <w:t xml:space="preserve"> </w:t>
            </w:r>
            <w:r>
              <w:rPr>
                <w:rFonts w:hint="default" w:ascii="ＭＳ 明朝" w:hAnsi="ＭＳ 明朝"/>
                <w:color w:val="auto"/>
                <w:sz w:val="22"/>
              </w:rPr>
              <w:t xml:space="preserve">   </w:t>
            </w:r>
            <w:r>
              <w:rPr>
                <w:rFonts w:hint="eastAsia" w:ascii="ＭＳ 明朝" w:hAnsi="ＭＳ 明朝"/>
                <w:color w:val="auto"/>
                <w:sz w:val="22"/>
              </w:rPr>
              <w:t>伊藤　和彦</w:t>
            </w:r>
          </w:p>
        </w:tc>
        <w:tc>
          <w:tcPr>
            <w:tcW w:w="37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ＭＳ 明朝" w:hAnsi="ＭＳ 明朝"/>
                <w:color w:val="auto"/>
                <w:sz w:val="22"/>
              </w:rPr>
            </w:pPr>
            <w:r>
              <w:rPr>
                <w:rFonts w:hint="eastAsia" w:ascii="ＭＳ 明朝" w:hAnsi="ＭＳ 明朝"/>
                <w:color w:val="auto"/>
                <w:sz w:val="22"/>
              </w:rPr>
              <w:t>上三川町スポーツ推進委員　代表</w:t>
            </w:r>
          </w:p>
        </w:tc>
      </w:tr>
      <w:tr>
        <w:trPr/>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firstLine="440" w:firstLineChars="200"/>
              <w:rPr>
                <w:rFonts w:hint="default" w:ascii="ＭＳ 明朝" w:hAnsi="ＭＳ 明朝"/>
                <w:color w:val="auto"/>
                <w:sz w:val="22"/>
              </w:rPr>
            </w:pPr>
            <w:r>
              <w:rPr>
                <w:rFonts w:hint="eastAsia" w:ascii="ＭＳ 明朝" w:hAnsi="ＭＳ 明朝"/>
                <w:color w:val="auto"/>
                <w:sz w:val="22"/>
              </w:rPr>
              <w:t>森川　静香</w:t>
            </w:r>
          </w:p>
        </w:tc>
        <w:tc>
          <w:tcPr>
            <w:tcW w:w="37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Chars="0" w:firstLine="0" w:firstLineChars="0"/>
              <w:rPr>
                <w:rFonts w:hint="default" w:ascii="ＭＳ 明朝" w:hAnsi="ＭＳ 明朝"/>
                <w:strike w:val="1"/>
                <w:color w:val="auto"/>
                <w:sz w:val="22"/>
              </w:rPr>
            </w:pPr>
            <w:r>
              <w:rPr>
                <w:rFonts w:hint="eastAsia" w:ascii="ＭＳ 明朝" w:hAnsi="ＭＳ 明朝"/>
                <w:color w:val="auto"/>
                <w:sz w:val="22"/>
              </w:rPr>
              <w:t>上三川小学校ＰＴＡ会長</w:t>
            </w:r>
          </w:p>
        </w:tc>
      </w:tr>
    </w:tbl>
    <w:p>
      <w:pPr>
        <w:pStyle w:val="0"/>
        <w:rPr>
          <w:rFonts w:hint="default" w:ascii="ＭＳ 明朝" w:hAnsi="ＭＳ 明朝"/>
          <w:b w:val="1"/>
          <w:color w:val="auto"/>
          <w:sz w:val="28"/>
        </w:rPr>
      </w:pPr>
      <w:r>
        <w:rPr>
          <w:rFonts w:hint="eastAsia" w:ascii="ＭＳ 明朝" w:hAnsi="ＭＳ 明朝"/>
          <w:b w:val="1"/>
          <w:color w:val="auto"/>
          <w:sz w:val="28"/>
        </w:rPr>
        <w:t>Ⅱ　教育に関する事務の執行状況の点検及び評価</w:t>
      </w:r>
    </w:p>
    <w:p>
      <w:pPr>
        <w:pStyle w:val="0"/>
        <w:rPr>
          <w:rFonts w:hint="default" w:ascii="ＭＳ 明朝" w:hAnsi="ＭＳ 明朝"/>
          <w:color w:val="auto"/>
        </w:rPr>
      </w:pPr>
      <w:r>
        <w:rPr>
          <w:rFonts w:hint="eastAsia" w:ascii="ＭＳ 明朝" w:hAnsi="ＭＳ 明朝"/>
          <w:b w:val="1"/>
          <w:color w:val="auto"/>
        </w:rPr>
        <w:t>第１章　学校教育の充実</w:t>
      </w:r>
    </w:p>
    <w:p>
      <w:pPr>
        <w:pStyle w:val="0"/>
        <w:rPr>
          <w:rFonts w:hint="default" w:ascii="ＭＳ 明朝" w:hAnsi="ＭＳ 明朝"/>
          <w:color w:val="auto"/>
        </w:rPr>
      </w:pPr>
      <w:r>
        <w:rPr>
          <w:rFonts w:hint="eastAsia" w:ascii="ＭＳ 明朝" w:hAnsi="ＭＳ 明朝"/>
          <w:b w:val="1"/>
          <w:color w:val="auto"/>
        </w:rPr>
        <w:t>➊　特色ある教育活動の推進</w:t>
      </w:r>
    </w:p>
    <w:p>
      <w:pPr>
        <w:pStyle w:val="0"/>
        <w:rPr>
          <w:rFonts w:hint="default" w:ascii="ＭＳ 明朝" w:hAnsi="ＭＳ 明朝"/>
          <w:color w:val="auto"/>
        </w:rPr>
      </w:pPr>
      <w:r>
        <w:rPr>
          <w:rFonts w:hint="eastAsia" w:ascii="ＭＳ 明朝" w:hAnsi="ＭＳ 明朝"/>
          <w:b w:val="1"/>
          <w:color w:val="auto"/>
          <w:sz w:val="22"/>
        </w:rPr>
        <w:t>【事務・事業の概要】</w:t>
      </w:r>
    </w:p>
    <w:p>
      <w:pPr>
        <w:pStyle w:val="0"/>
        <w:rPr>
          <w:rFonts w:hint="default" w:ascii="ＭＳ 明朝" w:hAnsi="ＭＳ 明朝"/>
          <w:color w:val="auto"/>
        </w:rPr>
      </w:pPr>
      <w:r>
        <w:rPr>
          <w:rFonts w:hint="eastAsia" w:ascii="ＭＳ 明朝" w:hAnsi="ＭＳ 明朝"/>
          <w:b w:val="1"/>
          <w:color w:val="auto"/>
          <w:sz w:val="22"/>
        </w:rPr>
        <w:t>１　目的及び効果</w:t>
      </w:r>
    </w:p>
    <w:p>
      <w:pPr>
        <w:pStyle w:val="0"/>
        <w:ind w:left="226" w:firstLine="214"/>
        <w:rPr>
          <w:rFonts w:hint="default" w:ascii="ＭＳ 明朝" w:hAnsi="ＭＳ 明朝"/>
          <w:color w:val="auto"/>
          <w:sz w:val="22"/>
        </w:rPr>
      </w:pPr>
      <w:r>
        <w:rPr>
          <w:rFonts w:hint="eastAsia" w:ascii="ＭＳ 明朝" w:hAnsi="ＭＳ 明朝"/>
          <w:color w:val="auto"/>
          <w:sz w:val="22"/>
        </w:rPr>
        <w:t>これからの学校教育は、多様で変化の激しい時代の中で子どもたちが社会を生き抜くため、生涯にわたる学習の基礎となる「自ら学び、考え、行動する力」など「生きる力」を確実に身につけることが求められている。</w:t>
      </w:r>
    </w:p>
    <w:p>
      <w:pPr>
        <w:pStyle w:val="0"/>
        <w:ind w:left="226" w:firstLine="214"/>
        <w:rPr>
          <w:rFonts w:hint="default" w:ascii="ＭＳ 明朝" w:hAnsi="ＭＳ 明朝"/>
          <w:color w:val="auto"/>
          <w:sz w:val="22"/>
        </w:rPr>
      </w:pPr>
      <w:r>
        <w:rPr>
          <w:rFonts w:hint="eastAsia" w:ascii="ＭＳ 明朝" w:hAnsi="ＭＳ 明朝"/>
          <w:color w:val="auto"/>
          <w:sz w:val="22"/>
        </w:rPr>
        <w:t>「生きる力」を身につけるために、学習面では子どもたちの実態に応じた、きめ細かい授業を実践し、基礎的・基本的な知識・技能を確実に習得できるようにするとともに、主体的・対話的で深い学びの実現に向けた学習活動や体験活動などの充実に、学校全体で取り組むことが必要とされている。</w:t>
      </w:r>
    </w:p>
    <w:p>
      <w:pPr>
        <w:pStyle w:val="0"/>
        <w:ind w:left="226" w:firstLine="214"/>
        <w:rPr>
          <w:rFonts w:hint="default" w:ascii="ＭＳ 明朝" w:hAnsi="ＭＳ 明朝"/>
          <w:color w:val="auto"/>
        </w:rPr>
      </w:pPr>
      <w:r>
        <w:rPr>
          <w:rFonts w:hint="eastAsia" w:ascii="ＭＳ 明朝" w:hAnsi="ＭＳ 明朝"/>
          <w:color w:val="auto"/>
          <w:sz w:val="22"/>
        </w:rPr>
        <w:t>各学校においては、児童生徒や家庭・地域の実態等を十分に踏まえた、創意工夫のある教育活動の充実や、指導方法の改善・教育課程の弾力化などによる「特色ある教育活動」を一層推進する必要がある。</w:t>
      </w:r>
    </w:p>
    <w:p>
      <w:pPr>
        <w:pStyle w:val="0"/>
        <w:rPr>
          <w:rFonts w:hint="default" w:ascii="ＭＳ 明朝" w:hAnsi="ＭＳ 明朝"/>
          <w:color w:val="auto"/>
        </w:rPr>
      </w:pPr>
      <w:r>
        <w:rPr>
          <w:rFonts w:hint="eastAsia" w:ascii="ＭＳ 明朝" w:hAnsi="ＭＳ 明朝"/>
          <w:b w:val="1"/>
          <w:color w:val="auto"/>
          <w:sz w:val="22"/>
        </w:rPr>
        <w:t>２　事業主体</w:t>
      </w:r>
    </w:p>
    <w:p>
      <w:pPr>
        <w:pStyle w:val="0"/>
        <w:rPr>
          <w:rFonts w:hint="default" w:ascii="ＭＳ 明朝" w:hAnsi="ＭＳ 明朝"/>
          <w:color w:val="auto"/>
        </w:rPr>
      </w:pPr>
      <w:r>
        <w:rPr>
          <w:rFonts w:hint="eastAsia" w:ascii="ＭＳ 明朝" w:hAnsi="ＭＳ 明朝"/>
          <w:b w:val="1"/>
          <w:color w:val="auto"/>
          <w:sz w:val="22"/>
        </w:rPr>
        <w:t>　　</w:t>
      </w:r>
      <w:r>
        <w:rPr>
          <w:rFonts w:hint="eastAsia" w:ascii="ＭＳ 明朝" w:hAnsi="ＭＳ 明朝"/>
          <w:color w:val="auto"/>
          <w:sz w:val="22"/>
        </w:rPr>
        <w:t>教育総務課・教育研究所　</w:t>
      </w:r>
    </w:p>
    <w:p>
      <w:pPr>
        <w:pStyle w:val="0"/>
        <w:rPr>
          <w:rFonts w:hint="default" w:ascii="ＭＳ 明朝" w:hAnsi="ＭＳ 明朝"/>
          <w:color w:val="auto"/>
        </w:rPr>
      </w:pPr>
      <w:r>
        <w:rPr>
          <w:rFonts w:hint="eastAsia" w:ascii="ＭＳ 明朝" w:hAnsi="ＭＳ 明朝"/>
          <w:b w:val="1"/>
          <w:color w:val="auto"/>
          <w:sz w:val="22"/>
        </w:rPr>
        <w:t>３　事業内容及び状況</w:t>
      </w:r>
    </w:p>
    <w:p>
      <w:pPr>
        <w:pStyle w:val="0"/>
        <w:ind w:left="660" w:hanging="660" w:hangingChars="300"/>
        <w:rPr>
          <w:rFonts w:hint="default" w:ascii="ＭＳ 明朝" w:hAnsi="ＭＳ 明朝"/>
          <w:color w:val="auto"/>
          <w:sz w:val="22"/>
        </w:rPr>
      </w:pPr>
      <w:r>
        <w:rPr>
          <w:rFonts w:hint="eastAsia" w:ascii="ＭＳ 明朝" w:hAnsi="ＭＳ 明朝"/>
          <w:color w:val="auto"/>
          <w:sz w:val="22"/>
        </w:rPr>
        <w:t>　</w:t>
      </w:r>
      <w:r>
        <w:rPr>
          <w:rFonts w:hint="eastAsia" w:ascii="ＭＳ 明朝" w:hAnsi="ＭＳ 明朝"/>
          <w:color w:val="auto"/>
          <w:sz w:val="22"/>
        </w:rPr>
        <w:t>(</w:t>
      </w:r>
      <w:r>
        <w:rPr>
          <w:rFonts w:hint="eastAsia" w:ascii="ＭＳ 明朝" w:hAnsi="ＭＳ 明朝"/>
          <w:color w:val="auto"/>
          <w:sz w:val="22"/>
        </w:rPr>
        <w:t>１</w:t>
      </w:r>
      <w:r>
        <w:rPr>
          <w:rFonts w:hint="eastAsia" w:ascii="ＭＳ 明朝" w:hAnsi="ＭＳ 明朝"/>
          <w:color w:val="auto"/>
          <w:sz w:val="22"/>
        </w:rPr>
        <w:t>)</w:t>
      </w:r>
      <w:r>
        <w:rPr>
          <w:rFonts w:hint="eastAsia" w:ascii="ＭＳ 明朝" w:hAnsi="ＭＳ 明朝"/>
          <w:color w:val="auto"/>
          <w:sz w:val="22"/>
        </w:rPr>
        <w:t>　子どもたちの確かな学力の確保</w:t>
      </w:r>
    </w:p>
    <w:p>
      <w:pPr>
        <w:pStyle w:val="0"/>
        <w:ind w:left="660" w:hanging="660" w:hangingChars="300"/>
        <w:rPr>
          <w:rFonts w:hint="default" w:ascii="ＭＳ 明朝" w:hAnsi="ＭＳ 明朝"/>
          <w:color w:val="auto"/>
          <w:sz w:val="22"/>
        </w:rPr>
      </w:pPr>
      <w:r>
        <w:rPr>
          <w:rFonts w:hint="eastAsia" w:ascii="ＭＳ 明朝" w:hAnsi="ＭＳ 明朝"/>
          <w:color w:val="auto"/>
          <w:sz w:val="22"/>
        </w:rPr>
        <w:t>　　　　町教育委員会及び教育研究所では、県教育委員会や県総合教育センターと連携を図り、教職員の資質向上のため、役職や校務分掌に応じた研修や、学習指導要領の目標を達成するための研修、教育研究所として重点的に推進する内容に関する研修等を実施した。（町教育委員会・教育研究所の研修</w:t>
      </w:r>
      <w:r>
        <w:rPr>
          <w:rFonts w:hint="eastAsia" w:ascii="ＭＳ 明朝" w:hAnsi="ＭＳ 明朝"/>
          <w:color w:val="auto"/>
          <w:sz w:val="22"/>
          <w:highlight w:val="none"/>
        </w:rPr>
        <w:t>５１</w:t>
      </w:r>
      <w:r>
        <w:rPr>
          <w:rFonts w:hint="eastAsia" w:ascii="ＭＳ 明朝" w:hAnsi="ＭＳ 明朝"/>
          <w:color w:val="auto"/>
          <w:sz w:val="22"/>
        </w:rPr>
        <w:t>回）</w:t>
      </w:r>
    </w:p>
    <w:p>
      <w:pPr>
        <w:pStyle w:val="0"/>
        <w:ind w:left="660" w:hanging="660" w:hangingChars="300"/>
        <w:rPr>
          <w:rFonts w:hint="default" w:ascii="ＭＳ 明朝" w:hAnsi="ＭＳ 明朝"/>
          <w:color w:val="auto"/>
          <w:sz w:val="22"/>
        </w:rPr>
      </w:pPr>
      <w:r>
        <w:rPr>
          <w:rFonts w:hint="eastAsia" w:ascii="ＭＳ 明朝" w:hAnsi="ＭＳ 明朝"/>
          <w:color w:val="auto"/>
          <w:sz w:val="22"/>
        </w:rPr>
        <w:t>　　　　学校においては、授業研究や校内研修を充実させ、教師一人ひとりの授業改善や指導力向上に努めている。（要請訪問等</w:t>
      </w:r>
      <w:r>
        <w:rPr>
          <w:rFonts w:hint="eastAsia" w:ascii="ＭＳ 明朝" w:hAnsi="ＭＳ 明朝"/>
          <w:strike w:val="0"/>
          <w:dstrike w:val="0"/>
          <w:color w:val="auto"/>
          <w:sz w:val="22"/>
        </w:rPr>
        <w:t>１０校</w:t>
      </w:r>
      <w:r>
        <w:rPr>
          <w:rFonts w:hint="eastAsia" w:ascii="ＭＳ 明朝" w:hAnsi="ＭＳ 明朝"/>
          <w:color w:val="auto"/>
          <w:sz w:val="22"/>
        </w:rPr>
        <w:t>で実施）</w:t>
      </w:r>
    </w:p>
    <w:p>
      <w:pPr>
        <w:pStyle w:val="0"/>
        <w:ind w:left="660" w:hanging="660" w:hangingChars="300"/>
        <w:rPr>
          <w:rFonts w:hint="default" w:ascii="ＭＳ 明朝" w:hAnsi="ＭＳ 明朝"/>
          <w:color w:val="auto"/>
          <w:sz w:val="22"/>
        </w:rPr>
      </w:pPr>
      <w:r>
        <w:rPr>
          <w:rFonts w:hint="eastAsia" w:ascii="ＭＳ 明朝" w:hAnsi="ＭＳ 明朝"/>
          <w:color w:val="auto"/>
          <w:sz w:val="22"/>
        </w:rPr>
        <w:t>　　　　教育研究所では、町内小中学生を対象にした全国学力・学習状況調査やとちぎっ子学習状況調査の結果を分析し、教職員を対象としたリーフレットの作成・配布をすることにより、小中連携による９年間を見通した授業改善につながる提案を行った。</w:t>
      </w:r>
    </w:p>
    <w:p>
      <w:pPr>
        <w:pStyle w:val="0"/>
        <w:ind w:left="720" w:leftChars="300" w:firstLine="220" w:firstLineChars="100"/>
        <w:rPr>
          <w:rFonts w:hint="default" w:ascii="ＭＳ 明朝" w:hAnsi="ＭＳ 明朝"/>
          <w:color w:val="auto"/>
          <w:sz w:val="22"/>
        </w:rPr>
      </w:pPr>
      <w:r>
        <w:rPr>
          <w:rFonts w:hint="eastAsia" w:ascii="ＭＳ 明朝" w:hAnsi="ＭＳ 明朝"/>
          <w:color w:val="auto"/>
          <w:sz w:val="22"/>
        </w:rPr>
        <w:t>ＩＣＴを活用した教育の推進に向け、学習者用端末を整備し、授業支援ソフトや各種教育用アプリを、授業で効果的に活用することができるよう各校が実践を積み重ねている。併せて、学習指導要領で位置づけられている「情報活用能力」を基盤とした学習や情報モラル教育に取り組んでいる。</w:t>
      </w:r>
    </w:p>
    <w:p>
      <w:pPr>
        <w:pStyle w:val="0"/>
        <w:ind w:left="720" w:leftChars="300" w:firstLine="220" w:firstLineChars="100"/>
        <w:rPr>
          <w:rFonts w:hint="default" w:ascii="ＭＳ 明朝" w:hAnsi="ＭＳ 明朝"/>
          <w:color w:val="auto"/>
          <w:sz w:val="22"/>
        </w:rPr>
      </w:pPr>
      <w:r>
        <w:rPr>
          <w:rFonts w:hint="eastAsia" w:ascii="ＭＳ 明朝" w:hAnsi="ＭＳ 明朝"/>
          <w:color w:val="auto"/>
          <w:sz w:val="22"/>
        </w:rPr>
        <w:t>また、教職員の研修についても、学習者用端末の効果的な活用を協議する研修はもとより、各種クラウドサービスなどを取り上げ、研鑽を積むことができた。</w:t>
      </w:r>
    </w:p>
    <w:p>
      <w:pPr>
        <w:pStyle w:val="0"/>
        <w:ind w:left="660" w:hanging="660" w:hangingChars="300"/>
        <w:rPr>
          <w:rFonts w:hint="default" w:ascii="ＭＳ 明朝" w:hAnsi="ＭＳ 明朝"/>
          <w:color w:val="auto"/>
          <w:sz w:val="22"/>
        </w:rPr>
      </w:pPr>
      <w:r>
        <w:rPr>
          <w:rFonts w:hint="eastAsia" w:ascii="ＭＳ 明朝" w:hAnsi="ＭＳ 明朝"/>
          <w:color w:val="auto"/>
          <w:sz w:val="22"/>
        </w:rPr>
        <w:t>　　　　外国語教育については、県教育委員会や県総合教育センターと連携し、町の中核となる教員の育成を図るとともに各学校における授業実践につながる研修会を実施し、町内教職員の授業力向上に努めた。</w:t>
      </w:r>
    </w:p>
    <w:p>
      <w:pPr>
        <w:pStyle w:val="0"/>
        <w:ind w:left="660" w:hanging="660" w:hangingChars="300"/>
        <w:rPr>
          <w:rFonts w:hint="default" w:ascii="ＭＳ 明朝" w:hAnsi="ＭＳ 明朝"/>
          <w:color w:val="auto"/>
          <w:sz w:val="22"/>
        </w:rPr>
      </w:pPr>
      <w:r>
        <w:rPr>
          <w:rFonts w:hint="eastAsia" w:ascii="ＭＳ 明朝" w:hAnsi="ＭＳ 明朝"/>
          <w:color w:val="auto"/>
          <w:sz w:val="22"/>
        </w:rPr>
        <w:t>　　　　１名のＥＬＴを配置し、７名のＡＬＴと共に、効果的な研究が進められるよう定期的かつ計画的な研修会を実施し、学校での授業が充実したものとなった。併せて、英語に早くから親しむ素地をつくるため幼稚園や保育園へもＡＬＴを派遣する事業や、むかしなつかし館や</w:t>
      </w:r>
      <w:r>
        <w:rPr>
          <w:rFonts w:hint="eastAsia" w:ascii="ＭＳ 明朝" w:hAnsi="ＭＳ 明朝"/>
          <w:color w:val="auto"/>
          <w:sz w:val="22"/>
          <w:highlight w:val="none"/>
        </w:rPr>
        <w:t>地域のコミュニティセンター等</w:t>
      </w:r>
      <w:r>
        <w:rPr>
          <w:rFonts w:hint="eastAsia" w:ascii="ＭＳ 明朝" w:hAnsi="ＭＳ 明朝"/>
          <w:color w:val="auto"/>
          <w:sz w:val="22"/>
        </w:rPr>
        <w:t>において英語でのコミュニケーションを体験する事業を展開した。</w:t>
      </w:r>
    </w:p>
    <w:p>
      <w:pPr>
        <w:pStyle w:val="0"/>
        <w:ind w:left="660" w:hanging="660" w:hangingChars="300"/>
        <w:rPr>
          <w:rFonts w:hint="default" w:ascii="ＭＳ 明朝" w:hAnsi="ＭＳ 明朝"/>
          <w:color w:val="auto"/>
          <w:sz w:val="22"/>
        </w:rPr>
      </w:pPr>
      <w:r>
        <w:rPr>
          <w:rFonts w:hint="eastAsia" w:ascii="ＭＳ 明朝" w:hAnsi="ＭＳ 明朝"/>
          <w:color w:val="auto"/>
          <w:sz w:val="22"/>
        </w:rPr>
        <w:t>　　　　また、国際感覚豊かな青少年の育成と国際交流の推進を図り、外国語による表現力と理解力を高めるため、中学生海外派遣事業を</w:t>
      </w:r>
      <w:r>
        <w:rPr>
          <w:rFonts w:hint="eastAsia" w:ascii="ＭＳ 明朝" w:hAnsi="ＭＳ 明朝"/>
          <w:strike w:val="0"/>
          <w:dstrike w:val="0"/>
          <w:color w:val="auto"/>
          <w:sz w:val="22"/>
        </w:rPr>
        <w:t>実施</w:t>
      </w:r>
      <w:r>
        <w:rPr>
          <w:rFonts w:hint="eastAsia" w:ascii="ＭＳ 明朝" w:hAnsi="ＭＳ 明朝"/>
          <w:color w:val="auto"/>
          <w:sz w:val="22"/>
        </w:rPr>
        <w:t>し、生徒２０名をオーストラリアケアンズに派遣した。</w:t>
      </w:r>
    </w:p>
    <w:p>
      <w:pPr>
        <w:pStyle w:val="0"/>
        <w:ind w:left="660" w:hanging="660" w:hangingChars="300"/>
        <w:rPr>
          <w:rFonts w:hint="default" w:ascii="ＭＳ 明朝" w:hAnsi="ＭＳ 明朝"/>
          <w:color w:val="auto"/>
          <w:sz w:val="22"/>
        </w:rPr>
      </w:pPr>
      <w:r>
        <w:rPr>
          <w:rFonts w:hint="eastAsia" w:ascii="ＭＳ 明朝" w:hAnsi="ＭＳ 明朝"/>
          <w:color w:val="auto"/>
          <w:sz w:val="22"/>
        </w:rPr>
        <w:t>　</w:t>
      </w:r>
      <w:r>
        <w:rPr>
          <w:rFonts w:hint="eastAsia" w:ascii="ＭＳ 明朝" w:hAnsi="ＭＳ 明朝"/>
          <w:color w:val="auto"/>
          <w:sz w:val="22"/>
        </w:rPr>
        <w:t>(</w:t>
      </w:r>
      <w:r>
        <w:rPr>
          <w:rFonts w:hint="eastAsia" w:ascii="ＭＳ 明朝" w:hAnsi="ＭＳ 明朝"/>
          <w:color w:val="auto"/>
          <w:sz w:val="22"/>
        </w:rPr>
        <w:t>２</w:t>
      </w:r>
      <w:r>
        <w:rPr>
          <w:rFonts w:hint="eastAsia" w:ascii="ＭＳ 明朝" w:hAnsi="ＭＳ 明朝"/>
          <w:color w:val="auto"/>
          <w:sz w:val="22"/>
        </w:rPr>
        <w:t>)</w:t>
      </w:r>
      <w:r>
        <w:rPr>
          <w:rFonts w:hint="eastAsia" w:ascii="ＭＳ 明朝" w:hAnsi="ＭＳ 明朝"/>
          <w:color w:val="auto"/>
          <w:sz w:val="22"/>
        </w:rPr>
        <w:t>　これからの時代に必要となる資質・能力の育成</w:t>
      </w:r>
    </w:p>
    <w:p>
      <w:pPr>
        <w:pStyle w:val="0"/>
        <w:ind w:left="660" w:hanging="660" w:hangingChars="300"/>
        <w:rPr>
          <w:rFonts w:hint="default" w:ascii="ＭＳ 明朝" w:hAnsi="ＭＳ 明朝"/>
          <w:color w:val="auto"/>
          <w:sz w:val="22"/>
        </w:rPr>
      </w:pPr>
      <w:r>
        <w:rPr>
          <w:rFonts w:hint="eastAsia" w:ascii="ＭＳ 明朝" w:hAnsi="ＭＳ 明朝"/>
          <w:color w:val="auto"/>
          <w:sz w:val="22"/>
        </w:rPr>
        <w:t>　　　　学習指導要領では、学習する子どもの視点に立ち、育成を目指す資質・能力の要素を「知識及び技能」「思考力、判断力、表現力」「学びに向かう力、人間性等」の３つの柱で整理し、生涯にわたり学習する基盤を培うことを目的とした教育内容の改善が求められている。</w:t>
      </w:r>
    </w:p>
    <w:p>
      <w:pPr>
        <w:pStyle w:val="0"/>
        <w:ind w:left="660" w:hanging="660" w:hangingChars="300"/>
        <w:rPr>
          <w:rFonts w:hint="default" w:ascii="ＭＳ 明朝" w:hAnsi="ＭＳ 明朝"/>
          <w:color w:val="auto"/>
          <w:sz w:val="22"/>
        </w:rPr>
      </w:pPr>
      <w:r>
        <w:rPr>
          <w:rFonts w:hint="eastAsia" w:ascii="ＭＳ 明朝" w:hAnsi="ＭＳ 明朝"/>
          <w:color w:val="auto"/>
          <w:sz w:val="22"/>
        </w:rPr>
        <w:t>　　　　それを踏まえ、各学校においては、義務教育９年間を見通した縦断的な視点や、教科横断的な視点から、学校教育目標の実現に向けて各活動を位置付け、計画的に取り組んでいる。また、主体的・対話的で深い学びの視点から、各教科の年間指導計画を見直し、授業の質の向上を図っている。さらに、外部講師を積極的に活用した効果的な体験活動の実施やＩＣＴ教育による情報活用能力の育成にも努めている。</w:t>
      </w:r>
    </w:p>
    <w:p>
      <w:pPr>
        <w:pStyle w:val="0"/>
        <w:ind w:left="680" w:leftChars="100" w:hanging="440" w:hangingChars="200"/>
        <w:rPr>
          <w:rFonts w:hint="default" w:ascii="ＭＳ 明朝" w:hAnsi="ＭＳ 明朝"/>
          <w:color w:val="auto"/>
          <w:sz w:val="22"/>
        </w:rPr>
      </w:pPr>
      <w:r>
        <w:rPr>
          <w:rFonts w:hint="eastAsia" w:ascii="ＭＳ 明朝" w:hAnsi="ＭＳ 明朝"/>
          <w:color w:val="auto"/>
          <w:sz w:val="22"/>
        </w:rPr>
        <w:t>(</w:t>
      </w:r>
      <w:r>
        <w:rPr>
          <w:rFonts w:hint="eastAsia" w:ascii="ＭＳ 明朝" w:hAnsi="ＭＳ 明朝"/>
          <w:color w:val="auto"/>
          <w:sz w:val="22"/>
        </w:rPr>
        <w:t>３</w:t>
      </w:r>
      <w:r>
        <w:rPr>
          <w:rFonts w:hint="eastAsia" w:ascii="ＭＳ 明朝" w:hAnsi="ＭＳ 明朝"/>
          <w:color w:val="auto"/>
          <w:sz w:val="22"/>
        </w:rPr>
        <w:t>)</w:t>
      </w:r>
      <w:r>
        <w:rPr>
          <w:rFonts w:hint="eastAsia" w:ascii="ＭＳ 明朝" w:hAnsi="ＭＳ 明朝"/>
          <w:color w:val="auto"/>
          <w:sz w:val="22"/>
        </w:rPr>
        <w:t>　人権教育の推進</w:t>
      </w:r>
    </w:p>
    <w:p>
      <w:pPr>
        <w:pStyle w:val="0"/>
        <w:ind w:left="660" w:hanging="660" w:hangingChars="300"/>
        <w:rPr>
          <w:rFonts w:hint="default" w:ascii="ＭＳ 明朝" w:hAnsi="ＭＳ 明朝"/>
          <w:color w:val="auto"/>
          <w:sz w:val="22"/>
        </w:rPr>
      </w:pPr>
      <w:r>
        <w:rPr>
          <w:rFonts w:hint="eastAsia" w:ascii="ＭＳ 明朝" w:hAnsi="ＭＳ 明朝"/>
          <w:color w:val="auto"/>
          <w:sz w:val="22"/>
        </w:rPr>
        <w:t>　　　　町人権教育基本方針のもと、学校教育における人権教育の重点と具体策に沿って、</w:t>
      </w:r>
      <w:r>
        <w:rPr>
          <w:rFonts w:hint="default"/>
          <w:color w:val="auto"/>
          <w:sz w:val="22"/>
        </w:rPr>
        <w:t>各校の人権教育主任を対象に研修</w:t>
      </w:r>
      <w:r>
        <w:rPr>
          <w:rFonts w:hint="eastAsia"/>
          <w:color w:val="auto"/>
          <w:sz w:val="22"/>
        </w:rPr>
        <w:t>会（</w:t>
      </w:r>
      <w:r>
        <w:rPr>
          <w:rFonts w:hint="default"/>
          <w:color w:val="auto"/>
          <w:sz w:val="22"/>
          <w:highlight w:val="none"/>
        </w:rPr>
        <w:t>２回</w:t>
      </w:r>
      <w:r>
        <w:rPr>
          <w:rFonts w:hint="eastAsia"/>
          <w:color w:val="auto"/>
          <w:sz w:val="22"/>
        </w:rPr>
        <w:t>）</w:t>
      </w:r>
      <w:r>
        <w:rPr>
          <w:rFonts w:hint="default"/>
          <w:color w:val="auto"/>
          <w:sz w:val="22"/>
        </w:rPr>
        <w:t>を</w:t>
      </w:r>
      <w:r>
        <w:rPr>
          <w:rFonts w:hint="eastAsia"/>
          <w:color w:val="auto"/>
          <w:sz w:val="22"/>
        </w:rPr>
        <w:t>実施した</w:t>
      </w:r>
      <w:r>
        <w:rPr>
          <w:rFonts w:hint="default"/>
          <w:color w:val="auto"/>
          <w:sz w:val="22"/>
        </w:rPr>
        <w:t>。また、</w:t>
      </w:r>
      <w:r>
        <w:rPr>
          <w:rFonts w:hint="eastAsia"/>
          <w:color w:val="auto"/>
          <w:sz w:val="22"/>
        </w:rPr>
        <w:t>全教職員が４年に１度は参加することになっている</w:t>
      </w:r>
      <w:r>
        <w:rPr>
          <w:rFonts w:hint="default"/>
          <w:color w:val="auto"/>
          <w:sz w:val="22"/>
        </w:rPr>
        <w:t>町合同授業研究会は、</w:t>
      </w:r>
      <w:r>
        <w:rPr>
          <w:rFonts w:hint="eastAsia"/>
          <w:strike w:val="0"/>
          <w:dstrike w:val="0"/>
          <w:color w:val="auto"/>
          <w:sz w:val="22"/>
        </w:rPr>
        <w:t>上三川小</w:t>
      </w:r>
      <w:r>
        <w:rPr>
          <w:rFonts w:hint="eastAsia"/>
          <w:color w:val="auto"/>
          <w:sz w:val="22"/>
        </w:rPr>
        <w:t>学校で</w:t>
      </w:r>
      <w:r>
        <w:rPr>
          <w:rFonts w:hint="default"/>
          <w:color w:val="auto"/>
          <w:sz w:val="22"/>
        </w:rPr>
        <w:t>開催され、授業参観</w:t>
      </w:r>
      <w:r>
        <w:rPr>
          <w:rFonts w:hint="eastAsia"/>
          <w:color w:val="auto"/>
          <w:sz w:val="22"/>
        </w:rPr>
        <w:t>及び</w:t>
      </w:r>
      <w:r>
        <w:rPr>
          <w:rFonts w:hint="default"/>
          <w:color w:val="auto"/>
          <w:sz w:val="22"/>
        </w:rPr>
        <w:t>研究</w:t>
      </w:r>
      <w:r>
        <w:rPr>
          <w:rFonts w:hint="eastAsia"/>
          <w:color w:val="auto"/>
          <w:sz w:val="22"/>
        </w:rPr>
        <w:t>協議</w:t>
      </w:r>
      <w:r>
        <w:rPr>
          <w:rFonts w:hint="default"/>
          <w:color w:val="auto"/>
          <w:sz w:val="22"/>
        </w:rPr>
        <w:t>を行った。本</w:t>
      </w:r>
      <w:r>
        <w:rPr>
          <w:rFonts w:hint="eastAsia"/>
          <w:color w:val="auto"/>
          <w:sz w:val="22"/>
        </w:rPr>
        <w:t>町</w:t>
      </w:r>
      <w:r>
        <w:rPr>
          <w:rFonts w:hint="default"/>
          <w:color w:val="auto"/>
          <w:sz w:val="22"/>
        </w:rPr>
        <w:t>で初めて勤務する</w:t>
      </w:r>
      <w:r>
        <w:rPr>
          <w:rFonts w:hint="eastAsia"/>
          <w:color w:val="auto"/>
          <w:sz w:val="22"/>
        </w:rPr>
        <w:t>ことに</w:t>
      </w:r>
      <w:r>
        <w:rPr>
          <w:rFonts w:hint="default"/>
          <w:color w:val="auto"/>
          <w:sz w:val="22"/>
        </w:rPr>
        <w:t>なった教職員</w:t>
      </w:r>
      <w:r>
        <w:rPr>
          <w:rFonts w:hint="eastAsia"/>
          <w:color w:val="auto"/>
          <w:sz w:val="22"/>
        </w:rPr>
        <w:t>に対しては、</w:t>
      </w:r>
      <w:r>
        <w:rPr>
          <w:rFonts w:hint="default"/>
          <w:color w:val="auto"/>
          <w:sz w:val="22"/>
        </w:rPr>
        <w:t>本町の人権</w:t>
      </w:r>
      <w:r>
        <w:rPr>
          <w:rFonts w:hint="eastAsia"/>
          <w:color w:val="auto"/>
          <w:sz w:val="22"/>
        </w:rPr>
        <w:t>教育について</w:t>
      </w:r>
      <w:r>
        <w:rPr>
          <w:rFonts w:hint="default"/>
          <w:color w:val="auto"/>
          <w:sz w:val="22"/>
        </w:rPr>
        <w:t>理解を深める研修会を行</w:t>
      </w:r>
      <w:r>
        <w:rPr>
          <w:rFonts w:hint="eastAsia"/>
          <w:color w:val="auto"/>
          <w:sz w:val="22"/>
        </w:rPr>
        <w:t>う</w:t>
      </w:r>
      <w:r>
        <w:rPr>
          <w:rFonts w:hint="default"/>
          <w:color w:val="auto"/>
          <w:sz w:val="22"/>
        </w:rPr>
        <w:t>など、</w:t>
      </w:r>
      <w:r>
        <w:rPr>
          <w:rFonts w:hint="eastAsia"/>
          <w:color w:val="auto"/>
          <w:sz w:val="22"/>
        </w:rPr>
        <w:t>町教職員</w:t>
      </w:r>
      <w:r>
        <w:rPr>
          <w:rFonts w:hint="default"/>
          <w:color w:val="auto"/>
          <w:sz w:val="22"/>
        </w:rPr>
        <w:t>全員の</w:t>
      </w:r>
      <w:r>
        <w:rPr>
          <w:rFonts w:hint="eastAsia" w:ascii="ＭＳ 明朝" w:hAnsi="ＭＳ 明朝"/>
          <w:color w:val="auto"/>
          <w:sz w:val="22"/>
        </w:rPr>
        <w:t>人権意識の向上に努めた。</w:t>
      </w:r>
    </w:p>
    <w:p>
      <w:pPr>
        <w:pStyle w:val="0"/>
        <w:ind w:left="660" w:hanging="660" w:hangingChars="300"/>
        <w:rPr>
          <w:rFonts w:hint="default" w:ascii="ＭＳ 明朝" w:hAnsi="ＭＳ 明朝"/>
          <w:color w:val="auto"/>
          <w:sz w:val="22"/>
        </w:rPr>
      </w:pPr>
      <w:r>
        <w:rPr>
          <w:rFonts w:hint="eastAsia" w:ascii="ＭＳ 明朝" w:hAnsi="ＭＳ 明朝"/>
          <w:color w:val="auto"/>
          <w:sz w:val="22"/>
        </w:rPr>
        <w:t>　</w:t>
      </w:r>
      <w:r>
        <w:rPr>
          <w:rFonts w:hint="eastAsia" w:ascii="ＭＳ 明朝" w:hAnsi="ＭＳ 明朝"/>
          <w:color w:val="auto"/>
          <w:sz w:val="22"/>
        </w:rPr>
        <w:t>(</w:t>
      </w:r>
      <w:r>
        <w:rPr>
          <w:rFonts w:hint="eastAsia" w:ascii="ＭＳ 明朝" w:hAnsi="ＭＳ 明朝"/>
          <w:color w:val="auto"/>
          <w:sz w:val="22"/>
        </w:rPr>
        <w:t>４</w:t>
      </w:r>
      <w:r>
        <w:rPr>
          <w:rFonts w:hint="eastAsia" w:ascii="ＭＳ 明朝" w:hAnsi="ＭＳ 明朝"/>
          <w:color w:val="auto"/>
          <w:sz w:val="22"/>
        </w:rPr>
        <w:t>)</w:t>
      </w:r>
      <w:r>
        <w:rPr>
          <w:rFonts w:hint="eastAsia" w:ascii="ＭＳ 明朝" w:hAnsi="ＭＳ 明朝"/>
          <w:color w:val="auto"/>
          <w:sz w:val="22"/>
        </w:rPr>
        <w:t>　読書活動の推進</w:t>
      </w:r>
    </w:p>
    <w:p>
      <w:pPr>
        <w:pStyle w:val="0"/>
        <w:ind w:left="660" w:hanging="660" w:hangingChars="300"/>
        <w:rPr>
          <w:rFonts w:hint="default" w:ascii="ＭＳ 明朝" w:hAnsi="ＭＳ 明朝"/>
          <w:color w:val="auto"/>
          <w:sz w:val="22"/>
        </w:rPr>
      </w:pPr>
      <w:r>
        <w:rPr>
          <w:rFonts w:hint="eastAsia" w:ascii="ＭＳ 明朝" w:hAnsi="ＭＳ 明朝"/>
          <w:color w:val="auto"/>
          <w:sz w:val="22"/>
        </w:rPr>
        <w:t>　　　　学校図書館の読書センターや学習・情報センターとしての機能の充実を図り、児童生徒の読書活動を推進するため、学校司書を全ての小中学校に配置している。</w:t>
      </w:r>
    </w:p>
    <w:p>
      <w:pPr>
        <w:pStyle w:val="0"/>
        <w:ind w:firstLine="220" w:firstLineChars="100"/>
        <w:rPr>
          <w:rFonts w:hint="default" w:ascii="ＭＳ 明朝" w:hAnsi="ＭＳ 明朝"/>
          <w:color w:val="auto"/>
          <w:sz w:val="22"/>
        </w:rPr>
      </w:pPr>
      <w:r>
        <w:rPr>
          <w:rFonts w:hint="eastAsia" w:ascii="ＭＳ 明朝" w:hAnsi="ＭＳ 明朝"/>
          <w:color w:val="auto"/>
          <w:sz w:val="22"/>
        </w:rPr>
        <w:t>(</w:t>
      </w:r>
      <w:r>
        <w:rPr>
          <w:rFonts w:hint="eastAsia" w:ascii="ＭＳ 明朝" w:hAnsi="ＭＳ 明朝"/>
          <w:color w:val="auto"/>
          <w:sz w:val="22"/>
        </w:rPr>
        <w:t>５</w:t>
      </w:r>
      <w:r>
        <w:rPr>
          <w:rFonts w:hint="eastAsia" w:ascii="ＭＳ 明朝" w:hAnsi="ＭＳ 明朝"/>
          <w:color w:val="auto"/>
          <w:sz w:val="22"/>
        </w:rPr>
        <w:t>)</w:t>
      </w:r>
      <w:r>
        <w:rPr>
          <w:rFonts w:hint="eastAsia" w:ascii="ＭＳ 明朝" w:hAnsi="ＭＳ 明朝"/>
          <w:color w:val="auto"/>
          <w:sz w:val="22"/>
        </w:rPr>
        <w:t>　「ＯＲＩＧＡＭＩのふるさとかみのかわ」プロジェクトの推進</w:t>
      </w:r>
    </w:p>
    <w:p>
      <w:pPr>
        <w:pStyle w:val="0"/>
        <w:ind w:left="680" w:leftChars="100" w:hanging="440" w:hangingChars="200"/>
        <w:rPr>
          <w:rFonts w:hint="default" w:ascii="ＭＳ 明朝" w:hAnsi="ＭＳ 明朝"/>
          <w:color w:val="auto"/>
          <w:sz w:val="22"/>
        </w:rPr>
      </w:pPr>
      <w:r>
        <w:rPr>
          <w:rFonts w:hint="eastAsia" w:ascii="ＭＳ 明朝" w:hAnsi="ＭＳ 明朝"/>
          <w:color w:val="auto"/>
          <w:sz w:val="22"/>
        </w:rPr>
        <w:t>　　　折り紙に関する学習を各教科等の年間指導計画に位置付け、折り紙を折る楽しさや郷土の偉人である吉澤章氏について学んでいる。</w:t>
      </w:r>
    </w:p>
    <w:p>
      <w:pPr>
        <w:pStyle w:val="0"/>
        <w:rPr>
          <w:rFonts w:hint="default" w:ascii="ＭＳ 明朝" w:hAnsi="ＭＳ 明朝"/>
          <w:color w:val="auto"/>
        </w:rPr>
      </w:pPr>
    </w:p>
    <w:p>
      <w:pPr>
        <w:pStyle w:val="0"/>
        <w:rPr>
          <w:rFonts w:hint="default" w:ascii="ＭＳ 明朝" w:hAnsi="ＭＳ 明朝"/>
          <w:color w:val="auto"/>
        </w:rPr>
      </w:pPr>
      <w:r>
        <w:rPr>
          <w:rFonts w:hint="eastAsia" w:ascii="ＭＳ 明朝" w:hAnsi="ＭＳ 明朝"/>
          <w:b w:val="1"/>
          <w:color w:val="auto"/>
          <w:sz w:val="22"/>
        </w:rPr>
        <w:t>【決算額】</w:t>
      </w:r>
    </w:p>
    <w:p>
      <w:pPr>
        <w:pStyle w:val="0"/>
        <w:ind w:firstLine="434"/>
        <w:rPr>
          <w:rFonts w:hint="default" w:ascii="ＭＳ 明朝" w:hAnsi="ＭＳ 明朝"/>
          <w:color w:val="auto"/>
          <w:sz w:val="22"/>
        </w:rPr>
      </w:pPr>
      <w:r>
        <w:rPr>
          <w:rFonts w:hint="eastAsia" w:ascii="ＭＳ 明朝" w:hAnsi="ＭＳ 明朝"/>
          <w:color w:val="auto"/>
          <w:sz w:val="22"/>
        </w:rPr>
        <w:t>第１０款　教育費　第２項　小学校費　１目　学校管理費　外</w:t>
      </w:r>
    </w:p>
    <w:p>
      <w:pPr>
        <w:pStyle w:val="0"/>
        <w:ind w:left="720" w:leftChars="300"/>
        <w:rPr>
          <w:rFonts w:hint="default" w:ascii="ＭＳ 明朝" w:hAnsi="ＭＳ 明朝"/>
          <w:color w:val="auto"/>
          <w:sz w:val="22"/>
        </w:rPr>
      </w:pPr>
      <w:r>
        <w:rPr>
          <w:rFonts w:hint="eastAsia" w:ascii="ＭＳ 明朝" w:hAnsi="ＭＳ 明朝"/>
          <w:strike w:val="0"/>
          <w:dstrike w:val="0"/>
          <w:color w:val="auto"/>
          <w:sz w:val="22"/>
        </w:rPr>
        <w:t>外国語教育推進</w:t>
      </w:r>
      <w:r>
        <w:rPr>
          <w:rFonts w:hint="eastAsia" w:ascii="ＭＳ 明朝" w:hAnsi="ＭＳ 明朝"/>
          <w:color w:val="auto"/>
          <w:sz w:val="22"/>
        </w:rPr>
        <w:t>事業　３５</w:t>
      </w:r>
      <w:r>
        <w:rPr>
          <w:rFonts w:hint="eastAsia" w:ascii="ＭＳ 明朝" w:hAnsi="ＭＳ 明朝"/>
          <w:color w:val="auto"/>
          <w:sz w:val="22"/>
        </w:rPr>
        <w:t>,</w:t>
      </w:r>
      <w:r>
        <w:rPr>
          <w:rFonts w:hint="eastAsia" w:ascii="ＭＳ 明朝" w:hAnsi="ＭＳ 明朝"/>
          <w:color w:val="auto"/>
          <w:sz w:val="22"/>
        </w:rPr>
        <w:t>２９４千円　学校司書配置事業　１５</w:t>
      </w:r>
      <w:r>
        <w:rPr>
          <w:rFonts w:hint="eastAsia" w:ascii="ＭＳ 明朝" w:hAnsi="ＭＳ 明朝"/>
          <w:color w:val="auto"/>
          <w:sz w:val="22"/>
        </w:rPr>
        <w:t>,</w:t>
      </w:r>
      <w:r>
        <w:rPr>
          <w:rFonts w:hint="eastAsia" w:ascii="ＭＳ 明朝" w:hAnsi="ＭＳ 明朝"/>
          <w:color w:val="auto"/>
          <w:sz w:val="22"/>
        </w:rPr>
        <w:t>３８５千円　学習者用端末整備事業　４３</w:t>
      </w:r>
      <w:r>
        <w:rPr>
          <w:rFonts w:hint="eastAsia" w:ascii="ＭＳ 明朝" w:hAnsi="ＭＳ 明朝"/>
          <w:color w:val="auto"/>
          <w:sz w:val="22"/>
        </w:rPr>
        <w:t>,</w:t>
      </w:r>
      <w:r>
        <w:rPr>
          <w:rFonts w:hint="eastAsia" w:ascii="ＭＳ 明朝" w:hAnsi="ＭＳ 明朝"/>
          <w:color w:val="auto"/>
          <w:sz w:val="22"/>
        </w:rPr>
        <w:t>９０８千円</w:t>
      </w:r>
    </w:p>
    <w:p>
      <w:pPr>
        <w:pStyle w:val="0"/>
        <w:rPr>
          <w:rFonts w:hint="default" w:ascii="ＭＳ 明朝" w:hAnsi="ＭＳ 明朝"/>
          <w:color w:val="auto"/>
        </w:rPr>
      </w:pPr>
      <w:r>
        <w:rPr>
          <w:rFonts w:hint="eastAsia" w:ascii="ＭＳ 明朝" w:hAnsi="ＭＳ 明朝"/>
          <w:b w:val="1"/>
          <w:color w:val="auto"/>
          <w:sz w:val="22"/>
        </w:rPr>
        <w:t>【事業評価（自己評価）】</w:t>
      </w:r>
    </w:p>
    <w:p>
      <w:pPr>
        <w:pStyle w:val="0"/>
        <w:ind w:left="220" w:hanging="220" w:hangingChars="100"/>
        <w:rPr>
          <w:rFonts w:hint="default" w:ascii="ＭＳ 明朝" w:hAnsi="ＭＳ 明朝"/>
          <w:color w:val="auto"/>
          <w:sz w:val="22"/>
        </w:rPr>
      </w:pPr>
      <w:r>
        <w:rPr>
          <w:rFonts w:hint="eastAsia" w:ascii="ＭＳ 明朝" w:hAnsi="ＭＳ 明朝"/>
          <w:color w:val="auto"/>
          <w:sz w:val="22"/>
        </w:rPr>
        <w:t xml:space="preserve">  </w:t>
      </w:r>
      <w:r>
        <w:rPr>
          <w:rFonts w:hint="eastAsia" w:ascii="ＭＳ 明朝" w:hAnsi="ＭＳ 明朝"/>
          <w:color w:val="auto"/>
          <w:sz w:val="22"/>
        </w:rPr>
        <w:t>　子どもたちの確かな学力の確保のため、校務に関する内容や新学習指導要領に関する内容など、幅広く計画的に研修を実施することで、教職員の指導力の向上を図るとともに、学力調査分析結果をもとにした授業改善に関するリーフレットを作成し配布することができた。</w:t>
      </w:r>
    </w:p>
    <w:p>
      <w:pPr>
        <w:pStyle w:val="0"/>
        <w:ind w:left="220" w:hanging="220" w:hangingChars="100"/>
        <w:rPr>
          <w:rFonts w:hint="default" w:ascii="ＭＳ 明朝" w:hAnsi="ＭＳ 明朝"/>
          <w:color w:val="auto"/>
          <w:sz w:val="22"/>
        </w:rPr>
      </w:pPr>
      <w:r>
        <w:rPr>
          <w:rFonts w:hint="eastAsia" w:ascii="ＭＳ 明朝" w:hAnsi="ＭＳ 明朝"/>
          <w:color w:val="auto"/>
          <w:sz w:val="22"/>
        </w:rPr>
        <w:t>　　学力向上担当者連絡会議を中学校区において</w:t>
      </w:r>
      <w:r>
        <w:rPr>
          <w:rFonts w:hint="eastAsia" w:ascii="ＭＳ 明朝" w:hAnsi="ＭＳ 明朝"/>
          <w:color w:val="auto"/>
          <w:sz w:val="22"/>
          <w:highlight w:val="none"/>
        </w:rPr>
        <w:t>年３回</w:t>
      </w:r>
      <w:r>
        <w:rPr>
          <w:rFonts w:hint="eastAsia" w:ascii="ＭＳ 明朝" w:hAnsi="ＭＳ 明朝"/>
          <w:color w:val="auto"/>
          <w:sz w:val="22"/>
        </w:rPr>
        <w:t>開催し、課題の共有や共通実践に向けた話し合いを行った。</w:t>
      </w:r>
    </w:p>
    <w:p>
      <w:pPr>
        <w:pStyle w:val="0"/>
        <w:ind w:left="220" w:hanging="220" w:hangingChars="100"/>
        <w:rPr>
          <w:rFonts w:hint="default"/>
          <w:color w:val="auto"/>
          <w:sz w:val="22"/>
        </w:rPr>
      </w:pPr>
      <w:r>
        <w:rPr>
          <w:rFonts w:hint="eastAsia" w:ascii="ＭＳ 明朝" w:hAnsi="ＭＳ 明朝"/>
          <w:color w:val="auto"/>
          <w:sz w:val="22"/>
        </w:rPr>
        <w:t>　　指導方法の改善に関しては、学校への要請訪問において、学習のねら</w:t>
      </w:r>
      <w:r>
        <w:rPr>
          <w:rFonts w:hint="eastAsia"/>
          <w:color w:val="auto"/>
          <w:sz w:val="22"/>
        </w:rPr>
        <w:t>いを明確化し、授業の振り返りを充実させるなど「Ｐ（計画）Ｄ（実行）Ｃ（評価）Ａ（改善）サイクル」を生かした研究授業を行い、具体的な指導方法を学ぶ機会とすることができた。</w:t>
      </w:r>
    </w:p>
    <w:p>
      <w:pPr>
        <w:pStyle w:val="0"/>
        <w:ind w:left="220" w:hanging="220" w:hangingChars="100"/>
        <w:rPr>
          <w:rFonts w:hint="default"/>
          <w:color w:val="auto"/>
          <w:sz w:val="22"/>
        </w:rPr>
      </w:pPr>
      <w:r>
        <w:rPr>
          <w:rFonts w:hint="eastAsia"/>
          <w:color w:val="auto"/>
          <w:sz w:val="22"/>
        </w:rPr>
        <w:t>　　</w:t>
      </w:r>
      <w:r>
        <w:rPr>
          <w:rFonts w:hint="eastAsia" w:ascii="ＭＳ 明朝" w:hAnsi="ＭＳ 明朝"/>
          <w:color w:val="auto"/>
          <w:sz w:val="22"/>
        </w:rPr>
        <w:t>また、幼小連携推進研修を、就学前から小学校入学後の子どもたちの学びの連続性と円滑な接続を図るため、５月と２月に実施した。</w:t>
      </w:r>
    </w:p>
    <w:p>
      <w:pPr>
        <w:pStyle w:val="0"/>
        <w:ind w:left="240" w:leftChars="100" w:firstLine="220" w:firstLineChars="100"/>
        <w:rPr>
          <w:rFonts w:hint="default"/>
          <w:color w:val="auto"/>
          <w:sz w:val="22"/>
        </w:rPr>
      </w:pPr>
      <w:r>
        <w:rPr>
          <w:rFonts w:hint="eastAsia"/>
          <w:color w:val="auto"/>
          <w:sz w:val="22"/>
        </w:rPr>
        <w:t>外国語教育については、ＥＬＴ・ＡＬＴの配置により、専門的・実践的な英語教育に取り組むことができた。</w:t>
      </w:r>
    </w:p>
    <w:p>
      <w:pPr>
        <w:pStyle w:val="0"/>
        <w:ind w:left="220" w:hanging="220" w:hangingChars="100"/>
        <w:rPr>
          <w:rFonts w:hint="default"/>
          <w:color w:val="auto"/>
          <w:sz w:val="22"/>
        </w:rPr>
      </w:pPr>
      <w:r>
        <w:rPr>
          <w:rFonts w:hint="eastAsia"/>
          <w:color w:val="auto"/>
          <w:sz w:val="22"/>
        </w:rPr>
        <w:t>　　人権教育については、各学校において人権教育主任を中心に、創意工夫ある取組が実施され、児童生徒や教職員の人権意識の向上に努めることができた。</w:t>
      </w:r>
    </w:p>
    <w:p>
      <w:pPr>
        <w:pStyle w:val="0"/>
        <w:ind w:left="220" w:hanging="220" w:hangingChars="100"/>
        <w:rPr>
          <w:rFonts w:hint="default"/>
          <w:color w:val="auto"/>
          <w:sz w:val="22"/>
        </w:rPr>
      </w:pPr>
      <w:r>
        <w:rPr>
          <w:rFonts w:hint="eastAsia"/>
          <w:color w:val="auto"/>
          <w:sz w:val="22"/>
        </w:rPr>
        <w:t>　　</w:t>
      </w:r>
      <w:r>
        <w:rPr>
          <w:rFonts w:hint="eastAsia" w:ascii="ＭＳ 明朝" w:hAnsi="ＭＳ 明朝"/>
          <w:color w:val="auto"/>
          <w:sz w:val="22"/>
        </w:rPr>
        <w:t>折り紙に関する学習については</w:t>
      </w:r>
      <w:r>
        <w:rPr>
          <w:rFonts w:hint="eastAsia"/>
          <w:color w:val="auto"/>
          <w:sz w:val="22"/>
        </w:rPr>
        <w:t>、各校で積極的に取り組み、児童生徒が折り紙に親しむ機会が拡充し、まちづくりの参画意識を高めることができた。</w:t>
      </w:r>
    </w:p>
    <w:p>
      <w:pPr>
        <w:pStyle w:val="0"/>
        <w:rPr>
          <w:rFonts w:hint="default"/>
          <w:b w:val="1"/>
          <w:color w:val="auto"/>
          <w:sz w:val="22"/>
        </w:rPr>
      </w:pPr>
      <w:r>
        <w:rPr>
          <w:rFonts w:hint="eastAsia"/>
          <w:b w:val="1"/>
          <w:color w:val="auto"/>
          <w:sz w:val="22"/>
        </w:rPr>
        <w:t>【外部評価者の点検・評価の概要】</w:t>
      </w:r>
    </w:p>
    <w:p>
      <w:pPr>
        <w:pStyle w:val="0"/>
        <w:ind w:left="460" w:leftChars="100" w:hanging="220" w:hangingChars="100"/>
        <w:rPr>
          <w:rFonts w:hint="default"/>
          <w:color w:val="auto"/>
          <w:sz w:val="22"/>
        </w:rPr>
      </w:pPr>
      <w:r>
        <w:rPr>
          <w:rFonts w:hint="eastAsia"/>
          <w:color w:val="auto"/>
          <w:sz w:val="22"/>
        </w:rPr>
        <w:t>・ＩＣＴを効果的に活用した授業実践がみられた。各校での実践が町内全校で共有され、学力向上につながっていくと良い。</w:t>
      </w:r>
    </w:p>
    <w:p>
      <w:pPr>
        <w:pStyle w:val="0"/>
        <w:ind w:left="460" w:leftChars="100" w:hanging="220" w:hangingChars="100"/>
        <w:rPr>
          <w:rFonts w:hint="default"/>
          <w:color w:val="auto"/>
          <w:sz w:val="22"/>
        </w:rPr>
      </w:pPr>
      <w:r>
        <w:rPr>
          <w:rFonts w:hint="eastAsia"/>
          <w:color w:val="auto"/>
          <w:sz w:val="22"/>
        </w:rPr>
        <w:t>・ＡＬＴについては、幼稚園や保育園に派遣するなど、学校教育以外でも活用していることは評価できる。</w:t>
      </w:r>
    </w:p>
    <w:p>
      <w:pPr>
        <w:pStyle w:val="0"/>
        <w:ind w:left="0" w:leftChars="0" w:firstLine="220" w:firstLineChars="100"/>
        <w:rPr>
          <w:rFonts w:hint="default"/>
          <w:color w:val="auto"/>
          <w:sz w:val="22"/>
        </w:rPr>
      </w:pPr>
      <w:r>
        <w:rPr>
          <w:rFonts w:hint="eastAsia"/>
          <w:color w:val="auto"/>
          <w:sz w:val="22"/>
        </w:rPr>
        <w:t>・人権教育の取組は充実しており、教職員の人権意識向上に努められている。</w:t>
      </w:r>
    </w:p>
    <w:p>
      <w:pPr>
        <w:pStyle w:val="0"/>
        <w:ind w:left="460" w:leftChars="100" w:hanging="220" w:hangingChars="100"/>
        <w:rPr>
          <w:rFonts w:hint="default"/>
          <w:color w:val="auto"/>
          <w:sz w:val="22"/>
        </w:rPr>
      </w:pPr>
      <w:r>
        <w:rPr>
          <w:rFonts w:hint="eastAsia"/>
          <w:color w:val="auto"/>
          <w:sz w:val="22"/>
        </w:rPr>
        <w:t>・町図書館との連携をさらに強化し、イベントなどを実施することで、読書に親しむ児童生徒の割合を上げていくと良い。</w:t>
      </w:r>
    </w:p>
    <w:p>
      <w:pPr>
        <w:pStyle w:val="0"/>
        <w:rPr>
          <w:rFonts w:hint="eastAsia"/>
          <w:color w:val="auto"/>
          <w:sz w:val="22"/>
        </w:rPr>
      </w:pPr>
    </w:p>
    <w:p>
      <w:pPr>
        <w:pStyle w:val="0"/>
        <w:rPr>
          <w:rFonts w:hint="default" w:ascii="ＭＳ 明朝" w:hAnsi="ＭＳ 明朝"/>
          <w:color w:val="auto"/>
        </w:rPr>
      </w:pPr>
      <w:r>
        <w:rPr>
          <w:rFonts w:hint="default" w:ascii="ＭＳ 明朝" w:hAnsi="ＭＳ 明朝"/>
          <w:b w:val="1"/>
          <w:color w:val="auto"/>
        </w:rPr>
        <w:t>➋</w:t>
      </w:r>
      <w:r>
        <w:rPr>
          <w:rFonts w:hint="eastAsia"/>
          <w:b w:val="1"/>
          <w:color w:val="auto"/>
        </w:rPr>
        <w:t>　教育支援体制の充実</w:t>
      </w:r>
    </w:p>
    <w:p>
      <w:pPr>
        <w:pStyle w:val="0"/>
        <w:rPr>
          <w:rFonts w:hint="default" w:ascii="ＭＳ 明朝" w:hAnsi="ＭＳ 明朝"/>
          <w:color w:val="auto"/>
        </w:rPr>
      </w:pPr>
      <w:r>
        <w:rPr>
          <w:rFonts w:hint="eastAsia"/>
          <w:b w:val="1"/>
          <w:color w:val="auto"/>
          <w:sz w:val="22"/>
        </w:rPr>
        <w:t>【事務・事業の概要】</w:t>
      </w:r>
    </w:p>
    <w:p>
      <w:pPr>
        <w:pStyle w:val="0"/>
        <w:rPr>
          <w:rFonts w:hint="default" w:ascii="ＭＳ 明朝" w:hAnsi="ＭＳ 明朝"/>
          <w:color w:val="auto"/>
        </w:rPr>
      </w:pPr>
      <w:r>
        <w:rPr>
          <w:rFonts w:hint="eastAsia"/>
          <w:b w:val="1"/>
          <w:color w:val="auto"/>
          <w:sz w:val="22"/>
        </w:rPr>
        <w:t>１　目的及び効果</w:t>
      </w:r>
    </w:p>
    <w:p>
      <w:pPr>
        <w:pStyle w:val="0"/>
        <w:ind w:left="220" w:hanging="220" w:hangingChars="100"/>
        <w:rPr>
          <w:rFonts w:hint="default"/>
          <w:strike w:val="1"/>
          <w:color w:val="auto"/>
          <w:sz w:val="22"/>
        </w:rPr>
      </w:pPr>
      <w:r>
        <w:rPr>
          <w:rFonts w:hint="eastAsia"/>
          <w:color w:val="auto"/>
          <w:sz w:val="22"/>
        </w:rPr>
        <w:t>　　町教育委員会では、優れた教職員の養成及び確保のため、長期的視点に立ち、計画的な研修を実施することにより、教職員の資質の向上に努めている。</w:t>
      </w:r>
    </w:p>
    <w:p>
      <w:pPr>
        <w:pStyle w:val="0"/>
        <w:ind w:left="220" w:hanging="220" w:hangingChars="100"/>
        <w:rPr>
          <w:rFonts w:hint="default"/>
          <w:color w:val="auto"/>
          <w:sz w:val="22"/>
        </w:rPr>
      </w:pPr>
      <w:r>
        <w:rPr>
          <w:rFonts w:hint="eastAsia"/>
          <w:color w:val="auto"/>
          <w:sz w:val="22"/>
        </w:rPr>
        <w:t>　　また、発達に課題のある児童生徒や不登校の児童生徒への対応のため、各小中学校では校内事例研究会を定期的に開催し、教職員の理解を深め、組織としての指導体制の充実に努めている。</w:t>
      </w:r>
    </w:p>
    <w:p>
      <w:pPr>
        <w:pStyle w:val="0"/>
        <w:ind w:left="220" w:hanging="220" w:hangingChars="100"/>
        <w:rPr>
          <w:rFonts w:hint="default" w:ascii="ＭＳ 明朝" w:hAnsi="ＭＳ 明朝"/>
          <w:strike w:val="1"/>
          <w:color w:val="auto"/>
        </w:rPr>
      </w:pPr>
      <w:r>
        <w:rPr>
          <w:rFonts w:hint="eastAsia"/>
          <w:color w:val="auto"/>
          <w:sz w:val="22"/>
        </w:rPr>
        <w:t>　　地域との連携による支援体制づくりに関しては、これまで研究に取り組んだ地域重点推進モデル事業や各小中学校が連携して取り組んだ各種事業の成果を生かすとともに、保護者や地域の力を学校運営に活かす「地域とともにある学校」づくりのため、全小中学校に学校運営協議会を設置している。</w:t>
      </w:r>
    </w:p>
    <w:p>
      <w:pPr>
        <w:pStyle w:val="0"/>
        <w:ind w:left="220" w:hanging="220" w:hangingChars="100"/>
        <w:rPr>
          <w:rFonts w:hint="default" w:ascii="ＭＳ 明朝" w:hAnsi="ＭＳ 明朝"/>
          <w:color w:val="auto"/>
        </w:rPr>
      </w:pPr>
      <w:r>
        <w:rPr>
          <w:rFonts w:hint="eastAsia"/>
          <w:color w:val="auto"/>
          <w:sz w:val="22"/>
        </w:rPr>
        <w:t>　　さらに、学校を巡る諸問題の解決に向けて、スクールカウンセラーやスクールソーシャルワーカーを配置し、児童生徒及び教職員への支援を充実させている。児童生徒の個別指導の充実に向けては、全小中学校に個別支援教室を設置し、教職員配置の工夫を行ったり、教育支援センター（オアシス）との連携の強化を図っている。</w:t>
      </w:r>
    </w:p>
    <w:p>
      <w:pPr>
        <w:pStyle w:val="0"/>
        <w:rPr>
          <w:rFonts w:hint="default" w:ascii="ＭＳ 明朝" w:hAnsi="ＭＳ 明朝"/>
          <w:color w:val="auto"/>
        </w:rPr>
      </w:pPr>
      <w:r>
        <w:rPr>
          <w:rFonts w:hint="eastAsia" w:ascii="ＭＳ 明朝" w:hAnsi="ＭＳ 明朝"/>
          <w:b w:val="1"/>
          <w:color w:val="auto"/>
          <w:sz w:val="22"/>
        </w:rPr>
        <w:t>２　事業主体</w:t>
      </w:r>
    </w:p>
    <w:p>
      <w:pPr>
        <w:pStyle w:val="0"/>
        <w:rPr>
          <w:rFonts w:hint="default" w:ascii="ＭＳ 明朝" w:hAnsi="ＭＳ 明朝"/>
          <w:color w:val="auto"/>
          <w:sz w:val="22"/>
        </w:rPr>
      </w:pPr>
      <w:r>
        <w:rPr>
          <w:rFonts w:hint="eastAsia" w:ascii="ＭＳ 明朝" w:hAnsi="ＭＳ 明朝"/>
          <w:b w:val="1"/>
          <w:color w:val="auto"/>
          <w:sz w:val="22"/>
        </w:rPr>
        <w:t>　　</w:t>
      </w:r>
      <w:r>
        <w:rPr>
          <w:rFonts w:hint="eastAsia" w:ascii="ＭＳ 明朝" w:hAnsi="ＭＳ 明朝"/>
          <w:color w:val="auto"/>
          <w:sz w:val="22"/>
        </w:rPr>
        <w:t>教育総務課・教育研究所　</w:t>
      </w:r>
    </w:p>
    <w:p>
      <w:pPr>
        <w:pStyle w:val="0"/>
        <w:rPr>
          <w:rFonts w:hint="default" w:ascii="ＭＳ 明朝" w:hAnsi="ＭＳ 明朝"/>
          <w:color w:val="auto"/>
        </w:rPr>
      </w:pPr>
      <w:r>
        <w:rPr>
          <w:rFonts w:hint="eastAsia" w:ascii="ＭＳ 明朝" w:hAnsi="ＭＳ 明朝"/>
          <w:b w:val="1"/>
          <w:color w:val="auto"/>
          <w:sz w:val="22"/>
        </w:rPr>
        <w:t>３　事業内容及び状況</w:t>
      </w:r>
    </w:p>
    <w:p>
      <w:pPr>
        <w:pStyle w:val="0"/>
        <w:numPr>
          <w:ilvl w:val="0"/>
          <w:numId w:val="1"/>
        </w:numPr>
        <w:rPr>
          <w:rFonts w:hint="default" w:ascii="ＭＳ 明朝" w:hAnsi="ＭＳ 明朝"/>
          <w:color w:val="auto"/>
          <w:sz w:val="22"/>
        </w:rPr>
      </w:pPr>
      <w:r>
        <w:rPr>
          <w:rFonts w:hint="eastAsia" w:ascii="ＭＳ 明朝" w:hAnsi="ＭＳ 明朝"/>
          <w:color w:val="auto"/>
          <w:sz w:val="22"/>
        </w:rPr>
        <w:t>教職員の養成及び確保</w:t>
      </w:r>
    </w:p>
    <w:p>
      <w:pPr>
        <w:pStyle w:val="0"/>
        <w:ind w:left="720" w:leftChars="300" w:firstLine="178" w:firstLineChars="81"/>
        <w:rPr>
          <w:rFonts w:hint="default" w:ascii="ＭＳ 明朝" w:hAnsi="ＭＳ 明朝"/>
          <w:color w:val="auto"/>
          <w:sz w:val="22"/>
        </w:rPr>
      </w:pPr>
      <w:r>
        <w:rPr>
          <w:rFonts w:hint="eastAsia" w:ascii="ＭＳ 明朝" w:hAnsi="ＭＳ 明朝"/>
          <w:color w:val="auto"/>
          <w:sz w:val="22"/>
        </w:rPr>
        <w:t>県教育委員会や県総合教育センターと連携し、教職員の養成に当たっている。学習指導要領で実施されている小学校外国語科及び外国語活動に関しては、中心となる教職員を育成するため、英語担当教職員を対象に研修会を実施した。新規採用教職員が在籍する小中学校では、校内研修計画を作成し、専門の指導教員による実践的な内容の研修を実施した</w:t>
      </w:r>
      <w:r>
        <w:rPr>
          <w:rFonts w:hint="eastAsia" w:ascii="ＭＳ 明朝" w:hAnsi="ＭＳ 明朝"/>
          <w:color w:val="auto"/>
          <w:sz w:val="22"/>
          <w:highlight w:val="none"/>
        </w:rPr>
        <w:t>（週３回）。</w:t>
      </w:r>
      <w:r>
        <w:rPr>
          <w:rFonts w:hint="eastAsia" w:ascii="ＭＳ 明朝" w:hAnsi="ＭＳ 明朝"/>
          <w:color w:val="auto"/>
          <w:sz w:val="22"/>
        </w:rPr>
        <w:t>また、校外でも長期的な視点に立った研修を実施した（年１５回）。</w:t>
      </w:r>
    </w:p>
    <w:p>
      <w:pPr>
        <w:pStyle w:val="0"/>
        <w:ind w:left="720" w:leftChars="300" w:firstLine="178" w:firstLineChars="81"/>
        <w:rPr>
          <w:rFonts w:hint="default" w:ascii="ＭＳ 明朝" w:hAnsi="ＭＳ 明朝"/>
          <w:color w:val="auto"/>
          <w:sz w:val="22"/>
        </w:rPr>
      </w:pPr>
      <w:r>
        <w:rPr>
          <w:rFonts w:hint="eastAsia" w:ascii="ＭＳ 明朝" w:hAnsi="ＭＳ 明朝"/>
          <w:color w:val="auto"/>
          <w:sz w:val="22"/>
        </w:rPr>
        <w:t>臨時採用教職員に対しては</w:t>
      </w:r>
      <w:r>
        <w:rPr>
          <w:rFonts w:hint="eastAsia" w:ascii="ＭＳ 明朝" w:hAnsi="ＭＳ 明朝"/>
          <w:color w:val="auto"/>
          <w:sz w:val="22"/>
          <w:highlight w:val="none"/>
        </w:rPr>
        <w:t>、年２回</w:t>
      </w:r>
      <w:r>
        <w:rPr>
          <w:rFonts w:hint="eastAsia" w:ascii="ＭＳ 明朝" w:hAnsi="ＭＳ 明朝"/>
          <w:color w:val="auto"/>
          <w:sz w:val="22"/>
        </w:rPr>
        <w:t>の研修会を実施し、指導や支援の方法について助言を行った。また、臨時採用教職員への支援のため、各校年２回の支援訪問を実施した。</w:t>
      </w:r>
    </w:p>
    <w:p>
      <w:pPr>
        <w:pStyle w:val="0"/>
        <w:numPr>
          <w:ilvl w:val="0"/>
          <w:numId w:val="1"/>
        </w:numPr>
        <w:jc w:val="left"/>
        <w:rPr>
          <w:rFonts w:hint="default" w:ascii="ＭＳ 明朝" w:hAnsi="ＭＳ 明朝"/>
          <w:color w:val="auto"/>
          <w:sz w:val="22"/>
        </w:rPr>
      </w:pPr>
      <w:r>
        <w:rPr>
          <w:rFonts w:hint="eastAsia" w:ascii="ＭＳ 明朝" w:hAnsi="ＭＳ 明朝"/>
          <w:color w:val="auto"/>
          <w:sz w:val="22"/>
        </w:rPr>
        <w:t>児童生徒支援の充実</w:t>
      </w:r>
    </w:p>
    <w:p>
      <w:pPr>
        <w:pStyle w:val="0"/>
        <w:ind w:left="720" w:firstLine="178" w:firstLineChars="81"/>
        <w:jc w:val="left"/>
        <w:rPr>
          <w:rFonts w:hint="default" w:ascii="ＭＳ 明朝" w:hAnsi="ＭＳ 明朝"/>
          <w:color w:val="auto"/>
          <w:sz w:val="22"/>
        </w:rPr>
      </w:pPr>
      <w:r>
        <w:rPr>
          <w:rFonts w:hint="eastAsia" w:ascii="ＭＳ 明朝" w:hAnsi="ＭＳ 明朝"/>
          <w:color w:val="auto"/>
          <w:sz w:val="22"/>
        </w:rPr>
        <w:t>発達に課題を持つ児童生徒の個別指導に向け、小中学校に町独自で非常勤の教職員（２５名）を配置し、県費の非常勤講師（１１名）と合わせて、指導の充実を図った。</w:t>
      </w:r>
    </w:p>
    <w:p>
      <w:pPr>
        <w:pStyle w:val="0"/>
        <w:ind w:left="720" w:firstLine="178" w:firstLineChars="81"/>
        <w:jc w:val="left"/>
        <w:rPr>
          <w:rFonts w:hint="default" w:ascii="ＭＳ 明朝" w:hAnsi="ＭＳ 明朝"/>
          <w:color w:val="auto"/>
          <w:sz w:val="22"/>
        </w:rPr>
      </w:pPr>
      <w:r>
        <w:rPr>
          <w:rFonts w:hint="eastAsia" w:ascii="ＭＳ 明朝" w:hAnsi="ＭＳ 明朝"/>
          <w:color w:val="auto"/>
          <w:sz w:val="22"/>
        </w:rPr>
        <w:t>全小中学校に設置している個別支援教室では、少人数によるきめ細やかな配慮のもとで丁寧な個別指導を進め、この教室が児童生徒や保護者に認知されることにより、そこで学ぶ児童生徒や学ぶ時間も増えている。</w:t>
      </w:r>
    </w:p>
    <w:p>
      <w:pPr>
        <w:pStyle w:val="0"/>
        <w:numPr>
          <w:ilvl w:val="0"/>
          <w:numId w:val="1"/>
        </w:numPr>
        <w:jc w:val="left"/>
        <w:rPr>
          <w:rFonts w:hint="default" w:ascii="ＭＳ 明朝" w:hAnsi="ＭＳ 明朝"/>
          <w:color w:val="auto"/>
          <w:sz w:val="22"/>
        </w:rPr>
      </w:pPr>
      <w:r>
        <w:rPr>
          <w:rFonts w:hint="eastAsia" w:ascii="ＭＳ 明朝" w:hAnsi="ＭＳ 明朝"/>
          <w:color w:val="auto"/>
          <w:sz w:val="22"/>
        </w:rPr>
        <w:t>地域とともにある学校づくり</w:t>
      </w:r>
    </w:p>
    <w:p>
      <w:pPr>
        <w:pStyle w:val="0"/>
        <w:ind w:left="720" w:firstLine="180"/>
        <w:jc w:val="left"/>
        <w:rPr>
          <w:rFonts w:hint="default" w:ascii="ＭＳ 明朝" w:hAnsi="ＭＳ 明朝"/>
          <w:color w:val="auto"/>
          <w:sz w:val="22"/>
        </w:rPr>
      </w:pPr>
      <w:r>
        <w:rPr>
          <w:rFonts w:hint="eastAsia" w:ascii="ＭＳ 明朝" w:hAnsi="ＭＳ 明朝"/>
          <w:color w:val="auto"/>
          <w:sz w:val="22"/>
        </w:rPr>
        <w:t>「開かれた学校づくり」から地域との連携をさらに充実・深化させた「地域とともにある学校づくり」を目指すため、町内全小中学校に学校運営協議会を設置した。上三川町の小中学校に適した「かみのかわ型コミュニティ・スクール」として、年間５回程度の協議会を開催するとともに、年１回の全体会議兼研修を行い、成果を共有した。</w:t>
      </w:r>
    </w:p>
    <w:p>
      <w:pPr>
        <w:pStyle w:val="0"/>
        <w:ind w:firstLine="110" w:firstLineChars="50"/>
        <w:jc w:val="left"/>
        <w:rPr>
          <w:rFonts w:hint="default" w:ascii="ＭＳ 明朝" w:hAnsi="ＭＳ 明朝"/>
          <w:color w:val="auto"/>
          <w:sz w:val="22"/>
        </w:rPr>
      </w:pPr>
      <w:r>
        <w:rPr>
          <w:rFonts w:hint="eastAsia" w:ascii="ＭＳ 明朝" w:hAnsi="ＭＳ 明朝"/>
          <w:color w:val="auto"/>
          <w:sz w:val="22"/>
        </w:rPr>
        <w:t>（４）学校を巡る諸問題の解決</w:t>
      </w:r>
    </w:p>
    <w:p>
      <w:pPr>
        <w:pStyle w:val="0"/>
        <w:ind w:left="720" w:firstLine="163" w:firstLineChars="74"/>
        <w:rPr>
          <w:rFonts w:hint="default" w:ascii="ＭＳ 明朝" w:hAnsi="ＭＳ 明朝"/>
          <w:color w:val="auto"/>
          <w:sz w:val="22"/>
        </w:rPr>
      </w:pPr>
      <w:r>
        <w:rPr>
          <w:rFonts w:hint="eastAsia" w:ascii="ＭＳ 明朝" w:hAnsi="ＭＳ 明朝"/>
          <w:color w:val="auto"/>
          <w:sz w:val="22"/>
        </w:rPr>
        <w:t>不登校に関する問題に対しては、教育支援センター（オアシス）が、学校との連携を強化しながら児童生徒の受入れを行った。</w:t>
      </w:r>
    </w:p>
    <w:p>
      <w:pPr>
        <w:pStyle w:val="0"/>
        <w:ind w:left="660" w:hanging="660" w:hangingChars="300"/>
        <w:rPr>
          <w:rFonts w:hint="default" w:ascii="ＭＳ 明朝" w:hAnsi="ＭＳ 明朝"/>
          <w:color w:val="auto"/>
          <w:sz w:val="22"/>
        </w:rPr>
      </w:pPr>
      <w:r>
        <w:rPr>
          <w:rFonts w:hint="eastAsia" w:ascii="ＭＳ 明朝" w:hAnsi="ＭＳ 明朝"/>
          <w:color w:val="auto"/>
          <w:sz w:val="22"/>
        </w:rPr>
        <w:t>　　　　また、町費により３名のスクールカウンセラーを配置し、県費により派遣されるスクールカウンセラー・スクールソーシャルワーカーとの協力体制を構築し、町内全１０校の教育相談体制の充実を図っている。</w:t>
      </w:r>
    </w:p>
    <w:p>
      <w:pPr>
        <w:pStyle w:val="0"/>
        <w:rPr>
          <w:rFonts w:hint="default" w:ascii="ＭＳ 明朝" w:hAnsi="ＭＳ 明朝"/>
          <w:color w:val="auto"/>
        </w:rPr>
      </w:pPr>
      <w:r>
        <w:rPr>
          <w:rFonts w:hint="eastAsia"/>
          <w:b w:val="1"/>
          <w:color w:val="auto"/>
          <w:sz w:val="22"/>
        </w:rPr>
        <w:t>【決算額】</w:t>
      </w:r>
    </w:p>
    <w:p>
      <w:pPr>
        <w:pStyle w:val="0"/>
        <w:rPr>
          <w:rFonts w:hint="default" w:ascii="ＭＳ 明朝" w:hAnsi="ＭＳ 明朝"/>
          <w:color w:val="auto"/>
        </w:rPr>
      </w:pPr>
      <w:r>
        <w:rPr>
          <w:rFonts w:hint="eastAsia"/>
          <w:color w:val="auto"/>
          <w:sz w:val="22"/>
        </w:rPr>
        <w:t>　　第１０款　教育費　第１項　教育総務費　３目　教育研究所費　外</w:t>
      </w:r>
    </w:p>
    <w:p>
      <w:pPr>
        <w:pStyle w:val="0"/>
        <w:rPr>
          <w:rFonts w:hint="default" w:ascii="ＭＳ 明朝" w:hAnsi="ＭＳ 明朝"/>
          <w:color w:val="auto"/>
          <w:sz w:val="22"/>
        </w:rPr>
      </w:pPr>
      <w:r>
        <w:rPr>
          <w:rFonts w:hint="eastAsia" w:ascii="ＭＳ 明朝" w:hAnsi="ＭＳ 明朝"/>
          <w:color w:val="auto"/>
          <w:sz w:val="22"/>
        </w:rPr>
        <w:t>　　　教育支援センター事業　８</w:t>
      </w:r>
      <w:r>
        <w:rPr>
          <w:rFonts w:hint="eastAsia" w:ascii="ＭＳ 明朝" w:hAnsi="ＭＳ 明朝"/>
          <w:color w:val="auto"/>
          <w:sz w:val="22"/>
        </w:rPr>
        <w:t>,</w:t>
      </w:r>
      <w:r>
        <w:rPr>
          <w:rFonts w:hint="eastAsia" w:ascii="ＭＳ 明朝" w:hAnsi="ＭＳ 明朝"/>
          <w:color w:val="auto"/>
          <w:sz w:val="22"/>
        </w:rPr>
        <w:t>３１７千円　</w:t>
      </w:r>
    </w:p>
    <w:p>
      <w:pPr>
        <w:pStyle w:val="0"/>
        <w:ind w:firstLine="660" w:firstLineChars="300"/>
        <w:rPr>
          <w:rFonts w:hint="default" w:ascii="ＭＳ 明朝" w:hAnsi="ＭＳ 明朝"/>
          <w:strike w:val="1"/>
          <w:color w:val="auto"/>
        </w:rPr>
      </w:pPr>
      <w:r>
        <w:rPr>
          <w:rFonts w:hint="eastAsia" w:ascii="ＭＳ 明朝" w:hAnsi="ＭＳ 明朝"/>
          <w:color w:val="auto"/>
          <w:sz w:val="22"/>
        </w:rPr>
        <w:t>教育指導体制整備事業　３</w:t>
      </w:r>
      <w:r>
        <w:rPr>
          <w:rFonts w:hint="eastAsia" w:ascii="ＭＳ 明朝" w:hAnsi="ＭＳ 明朝"/>
          <w:color w:val="auto"/>
          <w:sz w:val="22"/>
        </w:rPr>
        <w:t>,</w:t>
      </w:r>
      <w:r>
        <w:rPr>
          <w:rFonts w:hint="eastAsia" w:ascii="ＭＳ 明朝" w:hAnsi="ＭＳ 明朝"/>
          <w:color w:val="auto"/>
          <w:sz w:val="22"/>
        </w:rPr>
        <w:t>９８５千円</w:t>
      </w:r>
    </w:p>
    <w:p>
      <w:pPr>
        <w:pStyle w:val="0"/>
        <w:ind w:firstLine="660" w:firstLineChars="300"/>
        <w:rPr>
          <w:rFonts w:hint="default" w:ascii="ＭＳ 明朝" w:hAnsi="ＭＳ 明朝"/>
          <w:strike w:val="1"/>
          <w:color w:val="auto"/>
        </w:rPr>
      </w:pPr>
      <w:r>
        <w:rPr>
          <w:rFonts w:hint="eastAsia" w:ascii="ＭＳ 明朝" w:hAnsi="ＭＳ 明朝"/>
          <w:color w:val="auto"/>
          <w:sz w:val="22"/>
        </w:rPr>
        <w:t>学級運営等改善事業　７８</w:t>
      </w:r>
      <w:r>
        <w:rPr>
          <w:rFonts w:hint="eastAsia" w:ascii="ＭＳ 明朝" w:hAnsi="ＭＳ 明朝"/>
          <w:color w:val="auto"/>
          <w:sz w:val="22"/>
        </w:rPr>
        <w:t>,</w:t>
      </w:r>
      <w:r>
        <w:rPr>
          <w:rFonts w:hint="eastAsia" w:ascii="ＭＳ 明朝" w:hAnsi="ＭＳ 明朝"/>
          <w:color w:val="auto"/>
          <w:sz w:val="22"/>
        </w:rPr>
        <w:t>２０８千円</w:t>
      </w:r>
    </w:p>
    <w:p>
      <w:pPr>
        <w:pStyle w:val="0"/>
        <w:ind w:leftChars="0" w:firstLine="0" w:firstLineChars="0"/>
        <w:rPr>
          <w:rFonts w:hint="default" w:ascii="ＭＳ 明朝" w:hAnsi="ＭＳ 明朝"/>
          <w:strike w:val="1"/>
          <w:color w:val="auto"/>
          <w:sz w:val="22"/>
        </w:rPr>
      </w:pPr>
      <w:r>
        <w:rPr>
          <w:rFonts w:hint="eastAsia" w:ascii="ＭＳ 明朝" w:hAnsi="ＭＳ 明朝"/>
          <w:strike w:val="0"/>
          <w:dstrike w:val="0"/>
          <w:color w:val="auto"/>
        </w:rPr>
        <w:t>　</w:t>
      </w:r>
      <w:r>
        <w:rPr>
          <w:rFonts w:hint="eastAsia" w:ascii="ＭＳ 明朝" w:hAnsi="ＭＳ 明朝"/>
          <w:strike w:val="0"/>
          <w:dstrike w:val="0"/>
          <w:color w:val="auto"/>
        </w:rPr>
        <w:t xml:space="preserve"> </w:t>
      </w:r>
      <w:r>
        <w:rPr>
          <w:rFonts w:hint="eastAsia" w:ascii="ＭＳ 明朝" w:hAnsi="ＭＳ 明朝"/>
          <w:strike w:val="0"/>
          <w:dstrike w:val="0"/>
          <w:color w:val="auto"/>
          <w:sz w:val="22"/>
        </w:rPr>
        <w:t>第１０款　教育費　第４項　社会教育費　１目　社会教育総務費</w:t>
      </w:r>
    </w:p>
    <w:p>
      <w:pPr>
        <w:pStyle w:val="0"/>
        <w:ind w:leftChars="0" w:firstLine="0" w:firstLineChars="0"/>
        <w:rPr>
          <w:rFonts w:hint="default" w:ascii="ＭＳ 明朝" w:hAnsi="ＭＳ 明朝"/>
          <w:strike w:val="1"/>
          <w:color w:val="auto"/>
          <w:sz w:val="22"/>
        </w:rPr>
      </w:pPr>
      <w:r>
        <w:rPr>
          <w:rFonts w:hint="eastAsia" w:ascii="ＭＳ 明朝" w:hAnsi="ＭＳ 明朝"/>
          <w:strike w:val="0"/>
          <w:dstrike w:val="0"/>
          <w:color w:val="auto"/>
          <w:sz w:val="22"/>
        </w:rPr>
        <w:t>　　</w:t>
      </w:r>
      <w:r>
        <w:rPr>
          <w:rFonts w:hint="eastAsia" w:ascii="ＭＳ 明朝" w:hAnsi="ＭＳ 明朝"/>
          <w:strike w:val="0"/>
          <w:dstrike w:val="0"/>
          <w:color w:val="auto"/>
          <w:sz w:val="22"/>
        </w:rPr>
        <w:t xml:space="preserve">  </w:t>
      </w:r>
      <w:r>
        <w:rPr>
          <w:rFonts w:hint="eastAsia" w:ascii="ＭＳ 明朝" w:hAnsi="ＭＳ 明朝"/>
          <w:strike w:val="0"/>
          <w:dstrike w:val="0"/>
          <w:color w:val="auto"/>
          <w:sz w:val="22"/>
        </w:rPr>
        <w:t>学校運営協議会委員報酬　７９０千円</w:t>
      </w:r>
    </w:p>
    <w:p>
      <w:pPr>
        <w:pStyle w:val="0"/>
        <w:rPr>
          <w:rFonts w:hint="default" w:ascii="ＭＳ 明朝" w:hAnsi="ＭＳ 明朝"/>
          <w:color w:val="auto"/>
        </w:rPr>
      </w:pPr>
      <w:r>
        <w:rPr>
          <w:rFonts w:hint="eastAsia"/>
          <w:b w:val="1"/>
          <w:color w:val="auto"/>
          <w:sz w:val="22"/>
        </w:rPr>
        <w:t>【事業評価（自己評価）】</w:t>
      </w:r>
    </w:p>
    <w:p>
      <w:pPr>
        <w:pStyle w:val="0"/>
        <w:ind w:left="220" w:hanging="220" w:hangingChars="100"/>
        <w:rPr>
          <w:rFonts w:hint="default"/>
          <w:color w:val="auto"/>
          <w:sz w:val="22"/>
        </w:rPr>
      </w:pPr>
      <w:r>
        <w:rPr>
          <w:rFonts w:hint="eastAsia"/>
          <w:color w:val="auto"/>
          <w:sz w:val="22"/>
        </w:rPr>
        <w:t>　　初任者指導教員による新規採用教職員への研修を計画的に進めたことにより、配置校では学校や職務への適応が早くなった。</w:t>
      </w:r>
    </w:p>
    <w:p>
      <w:pPr>
        <w:pStyle w:val="0"/>
        <w:ind w:left="220" w:hanging="220" w:hangingChars="100"/>
        <w:rPr>
          <w:rFonts w:hint="default"/>
          <w:color w:val="auto"/>
          <w:sz w:val="22"/>
        </w:rPr>
      </w:pPr>
      <w:r>
        <w:rPr>
          <w:rFonts w:hint="eastAsia"/>
          <w:color w:val="auto"/>
          <w:sz w:val="22"/>
        </w:rPr>
        <w:t>　　町採用の非常勤講師を全校で２５人配置することにより、学級担任と連携して意図的・計画的に児童生徒を支援し、学校における個別指導の充実を図ることができている。また、臨時採用教職員については、研修の実施に加えて指導や支援の様子を参観し、個別に指導や懇談の時間を設けることにより、授業や支援の方法を改善する機会が増えた。　　　　　　　　　　　　　</w:t>
      </w:r>
    </w:p>
    <w:p>
      <w:pPr>
        <w:pStyle w:val="0"/>
        <w:ind w:left="220" w:hanging="220" w:hangingChars="100"/>
        <w:rPr>
          <w:rFonts w:hint="default"/>
          <w:color w:val="auto"/>
          <w:sz w:val="22"/>
        </w:rPr>
      </w:pPr>
      <w:r>
        <w:rPr>
          <w:rFonts w:hint="eastAsia"/>
          <w:color w:val="auto"/>
          <w:sz w:val="22"/>
        </w:rPr>
        <w:t>　　スクールカウンセラーを全小中学校に配置し、教育相談の体制を充実させたことにより、児童生徒及び保護者の相談等に、丁寧に対応することができた。不登校の児童生徒に対しては、学校やスクールカウンセラー、</w:t>
      </w:r>
      <w:r>
        <w:rPr>
          <w:rFonts w:hint="eastAsia" w:ascii="ＭＳ 明朝" w:hAnsi="ＭＳ 明朝"/>
          <w:color w:val="auto"/>
          <w:sz w:val="22"/>
        </w:rPr>
        <w:t>教育支援センター（オアシス）</w:t>
      </w:r>
      <w:r>
        <w:rPr>
          <w:rFonts w:hint="eastAsia"/>
          <w:color w:val="auto"/>
          <w:sz w:val="22"/>
        </w:rPr>
        <w:t>の指導員が連携して対応することで、通級する児童生徒一人ひとりにあった指導や支援を行うことができた。</w:t>
      </w:r>
    </w:p>
    <w:p>
      <w:pPr>
        <w:pStyle w:val="0"/>
        <w:ind w:left="240" w:leftChars="100" w:firstLine="220" w:firstLineChars="100"/>
        <w:rPr>
          <w:rFonts w:hint="default"/>
          <w:color w:val="auto"/>
          <w:sz w:val="22"/>
        </w:rPr>
      </w:pPr>
      <w:r>
        <w:rPr>
          <w:rFonts w:hint="eastAsia"/>
          <w:color w:val="auto"/>
          <w:sz w:val="22"/>
        </w:rPr>
        <w:t>学校運営協議会制度（コミュニティ・スクール）を町内全小中学校に導入したことで、学校と地域が情報を共有できる環境が整えられ、学校支援コーディネーターと連携し、地域のボランティアが学校で活動する場面が広がり、子どもたちの学びや体験活動の充実につながっている。</w:t>
      </w:r>
    </w:p>
    <w:p>
      <w:pPr>
        <w:pStyle w:val="0"/>
        <w:rPr>
          <w:rFonts w:hint="default" w:ascii="ＭＳ 明朝" w:hAnsi="ＭＳ 明朝"/>
          <w:color w:val="auto"/>
        </w:rPr>
      </w:pPr>
      <w:r>
        <w:rPr>
          <w:rFonts w:hint="eastAsia"/>
          <w:b w:val="1"/>
          <w:color w:val="auto"/>
          <w:sz w:val="22"/>
        </w:rPr>
        <w:t>【外部評価者の点検・評価の概要】</w:t>
      </w:r>
    </w:p>
    <w:p>
      <w:pPr>
        <w:pStyle w:val="0"/>
        <w:ind w:left="440" w:hanging="440" w:hangingChars="200"/>
        <w:rPr>
          <w:rFonts w:hint="default"/>
          <w:color w:val="auto"/>
          <w:sz w:val="22"/>
        </w:rPr>
      </w:pPr>
      <w:r>
        <w:rPr>
          <w:rFonts w:hint="eastAsia"/>
          <w:color w:val="auto"/>
          <w:sz w:val="22"/>
        </w:rPr>
        <w:t>　・学校運営協議会の設置により学校と地域との連携が進んでいるが、学校支援コーディネーターをさらに活用し、学校と地域のボランティアの連携をさらに図ると活動が広がるのではないか。</w:t>
      </w:r>
    </w:p>
    <w:p>
      <w:pPr>
        <w:pStyle w:val="0"/>
        <w:ind w:left="440" w:hanging="440" w:hangingChars="200"/>
        <w:rPr>
          <w:rFonts w:hint="default"/>
          <w:color w:val="auto"/>
          <w:sz w:val="22"/>
        </w:rPr>
      </w:pPr>
      <w:r>
        <w:rPr>
          <w:rFonts w:hint="eastAsia"/>
          <w:color w:val="auto"/>
          <w:sz w:val="22"/>
        </w:rPr>
        <w:t>　・スクールカウンセラーやスクールソーシャルワーカーを配置し、児童生徒や保護者に関わることで、問題の解決に効果が上がっている。学校現場ではより多くの支援にあたれる人材が必要である。人材確保に努めてほしい。</w:t>
      </w:r>
    </w:p>
    <w:p>
      <w:pPr>
        <w:pStyle w:val="0"/>
        <w:ind w:left="440" w:hanging="440" w:hangingChars="200"/>
        <w:rPr>
          <w:rFonts w:hint="default"/>
          <w:color w:val="auto"/>
          <w:sz w:val="22"/>
        </w:rPr>
      </w:pPr>
      <w:r>
        <w:rPr>
          <w:rFonts w:hint="eastAsia"/>
          <w:color w:val="auto"/>
          <w:sz w:val="22"/>
        </w:rPr>
        <w:t>　</w:t>
      </w:r>
    </w:p>
    <w:p>
      <w:pPr>
        <w:pStyle w:val="0"/>
        <w:rPr>
          <w:rFonts w:hint="default"/>
          <w:color w:val="auto"/>
        </w:rPr>
      </w:pPr>
      <w:r>
        <w:rPr>
          <w:rFonts w:hint="default" w:ascii="ＭＳ 明朝" w:hAnsi="ＭＳ 明朝"/>
          <w:b w:val="1"/>
          <w:color w:val="auto"/>
        </w:rPr>
        <w:t>➌</w:t>
      </w:r>
      <w:r>
        <w:rPr>
          <w:rFonts w:hint="eastAsia"/>
          <w:b w:val="1"/>
          <w:color w:val="auto"/>
        </w:rPr>
        <w:t>　健康・体力づくりの推進</w:t>
      </w:r>
    </w:p>
    <w:p>
      <w:pPr>
        <w:pStyle w:val="0"/>
        <w:rPr>
          <w:rFonts w:hint="default"/>
          <w:b w:val="1"/>
          <w:color w:val="auto"/>
          <w:sz w:val="22"/>
        </w:rPr>
      </w:pPr>
      <w:r>
        <w:rPr>
          <w:rFonts w:hint="eastAsia" w:ascii="ＭＳ 明朝" w:hAnsi="ＭＳ 明朝"/>
          <w:b w:val="1"/>
          <w:color w:val="auto"/>
          <w:sz w:val="22"/>
        </w:rPr>
        <w:t>【事務・事業の概要】</w:t>
      </w:r>
    </w:p>
    <w:p>
      <w:pPr>
        <w:pStyle w:val="0"/>
        <w:rPr>
          <w:rFonts w:hint="default"/>
          <w:b w:val="1"/>
          <w:color w:val="auto"/>
          <w:sz w:val="22"/>
        </w:rPr>
      </w:pPr>
      <w:r>
        <w:rPr>
          <w:rFonts w:hint="eastAsia" w:ascii="ＭＳ 明朝" w:hAnsi="ＭＳ 明朝"/>
          <w:b w:val="1"/>
          <w:color w:val="auto"/>
          <w:sz w:val="22"/>
        </w:rPr>
        <w:t>１　目的及び効果</w:t>
      </w:r>
    </w:p>
    <w:p>
      <w:pPr>
        <w:pStyle w:val="0"/>
        <w:ind w:left="220" w:hanging="220" w:hangingChars="100"/>
        <w:rPr>
          <w:rFonts w:hint="default"/>
          <w:color w:val="auto"/>
          <w:sz w:val="22"/>
        </w:rPr>
      </w:pPr>
      <w:r>
        <w:rPr>
          <w:rFonts w:hint="eastAsia"/>
          <w:color w:val="auto"/>
          <w:sz w:val="22"/>
        </w:rPr>
        <w:t>　　安全で安心できる学校給食を提供するため、衛生管理の徹底を図るとともに、地場産物を積極的に取り入れ、「地産地消」の推進を図る。</w:t>
      </w:r>
    </w:p>
    <w:p>
      <w:pPr>
        <w:pStyle w:val="0"/>
        <w:ind w:left="220" w:hanging="220" w:hangingChars="100"/>
        <w:rPr>
          <w:rFonts w:hint="default"/>
          <w:color w:val="auto"/>
          <w:sz w:val="22"/>
        </w:rPr>
      </w:pPr>
      <w:r>
        <w:rPr>
          <w:rFonts w:hint="eastAsia"/>
          <w:color w:val="auto"/>
          <w:sz w:val="22"/>
        </w:rPr>
        <w:t>　　食育については、栄養教諭が各学校の給食の時間に訪問指導し、取組を充実させ、推進を図る。同時に、食物アレルギーを有する児童生徒が、他の児童生徒と同じように給食を楽しむことができるよう努めている。</w:t>
      </w:r>
    </w:p>
    <w:p>
      <w:pPr>
        <w:pStyle w:val="0"/>
        <w:ind w:left="220" w:hanging="220" w:hangingChars="100"/>
        <w:rPr>
          <w:rFonts w:hint="default"/>
          <w:color w:val="auto"/>
          <w:sz w:val="22"/>
        </w:rPr>
      </w:pPr>
      <w:r>
        <w:rPr>
          <w:rFonts w:hint="eastAsia"/>
          <w:color w:val="auto"/>
          <w:sz w:val="22"/>
        </w:rPr>
        <w:t>　　給食センターの大型調理機器や付属設備等を計画的に更新し、学校給食の安定的な提供を維持する。　　　　　　　　　</w:t>
      </w:r>
    </w:p>
    <w:p>
      <w:pPr>
        <w:pStyle w:val="0"/>
        <w:rPr>
          <w:rFonts w:hint="default"/>
          <w:color w:val="auto"/>
          <w:sz w:val="22"/>
        </w:rPr>
      </w:pPr>
      <w:r>
        <w:rPr>
          <w:rFonts w:hint="eastAsia"/>
          <w:b w:val="1"/>
          <w:color w:val="auto"/>
          <w:sz w:val="22"/>
        </w:rPr>
        <w:t>２　事業主体</w:t>
      </w:r>
    </w:p>
    <w:p>
      <w:pPr>
        <w:pStyle w:val="0"/>
        <w:rPr>
          <w:rFonts w:hint="default"/>
          <w:color w:val="auto"/>
          <w:sz w:val="22"/>
        </w:rPr>
      </w:pPr>
      <w:r>
        <w:rPr>
          <w:rFonts w:hint="eastAsia"/>
          <w:b w:val="1"/>
          <w:color w:val="auto"/>
          <w:sz w:val="22"/>
        </w:rPr>
        <w:t>　　</w:t>
      </w:r>
      <w:r>
        <w:rPr>
          <w:rFonts w:hint="eastAsia"/>
          <w:color w:val="auto"/>
          <w:sz w:val="22"/>
        </w:rPr>
        <w:t>教育総務課（給食センター）・学校</w:t>
      </w:r>
    </w:p>
    <w:p>
      <w:pPr>
        <w:pStyle w:val="0"/>
        <w:rPr>
          <w:rFonts w:hint="default"/>
          <w:b w:val="1"/>
          <w:color w:val="auto"/>
          <w:sz w:val="22"/>
        </w:rPr>
      </w:pPr>
      <w:r>
        <w:rPr>
          <w:rFonts w:hint="eastAsia"/>
          <w:b w:val="1"/>
          <w:color w:val="auto"/>
          <w:sz w:val="22"/>
        </w:rPr>
        <w:t>３　事業内容及び状況</w:t>
      </w:r>
    </w:p>
    <w:p>
      <w:pPr>
        <w:pStyle w:val="0"/>
        <w:ind w:left="221" w:hanging="221" w:hangingChars="100"/>
        <w:rPr>
          <w:rFonts w:hint="default"/>
          <w:color w:val="auto"/>
          <w:sz w:val="22"/>
        </w:rPr>
      </w:pPr>
      <w:r>
        <w:rPr>
          <w:rFonts w:hint="eastAsia"/>
          <w:b w:val="1"/>
          <w:color w:val="auto"/>
          <w:sz w:val="22"/>
        </w:rPr>
        <w:t>　　</w:t>
      </w:r>
      <w:r>
        <w:rPr>
          <w:rFonts w:hint="eastAsia"/>
          <w:color w:val="auto"/>
          <w:sz w:val="22"/>
        </w:rPr>
        <w:t>衛生管理については、食中毒の事故発生を想定し策定した「学校における食中毒発生（疑い）時の対応マニュアル」に基づき、管理を徹底させるよう努めた。</w:t>
      </w:r>
    </w:p>
    <w:p>
      <w:pPr>
        <w:pStyle w:val="0"/>
        <w:ind w:left="220" w:hanging="220" w:hangingChars="100"/>
        <w:rPr>
          <w:rFonts w:hint="default"/>
          <w:strike w:val="1"/>
          <w:color w:val="auto"/>
          <w:sz w:val="22"/>
        </w:rPr>
      </w:pPr>
      <w:r>
        <w:rPr>
          <w:rFonts w:hint="eastAsia"/>
          <w:color w:val="auto"/>
          <w:sz w:val="22"/>
        </w:rPr>
        <w:t>　　給食における食物アレルギー対応では、鶏卵、飲用牛乳、乳製品デザートについて代替食の提供を実施し、アレルギー疾患を有する児童生徒に対しても安全に給食が提供されるよう対応を行っている。地産地消の推進では、町学校給食物資納入組合等の協力を得て、町内産・県内産の食材を積極的に利用した。また、町内の生産者からニラやふくべの無償提供を受け、給食の食材として活用している。</w:t>
      </w:r>
    </w:p>
    <w:p>
      <w:pPr>
        <w:pStyle w:val="0"/>
        <w:ind w:left="221" w:hanging="221" w:hangingChars="100"/>
        <w:rPr>
          <w:rFonts w:hint="default"/>
          <w:color w:val="auto"/>
          <w:sz w:val="22"/>
        </w:rPr>
      </w:pPr>
      <w:r>
        <w:rPr>
          <w:rFonts w:hint="eastAsia"/>
          <w:b w:val="1"/>
          <w:color w:val="auto"/>
          <w:sz w:val="22"/>
        </w:rPr>
        <w:t>　　</w:t>
      </w:r>
      <w:r>
        <w:rPr>
          <w:rFonts w:hint="eastAsia"/>
          <w:color w:val="auto"/>
          <w:sz w:val="22"/>
        </w:rPr>
        <w:t>食に関する指導の取組に関しては、上三川町第３期食育推進計画に基づき、各小中学校において、それぞれの学校や町の特色を生かした「食に関する指導計画」が策定され、学校・地域・家庭が連携し、食習慣を含めた食育への取組の体制整備を推進した。</w:t>
      </w:r>
    </w:p>
    <w:p>
      <w:pPr>
        <w:pStyle w:val="0"/>
        <w:ind w:left="220" w:hanging="220" w:hangingChars="100"/>
        <w:rPr>
          <w:rFonts w:hint="default"/>
          <w:color w:val="auto"/>
          <w:sz w:val="22"/>
        </w:rPr>
      </w:pPr>
      <w:r>
        <w:rPr>
          <w:rFonts w:hint="eastAsia"/>
          <w:color w:val="auto"/>
          <w:sz w:val="22"/>
        </w:rPr>
        <w:t>　　学校給食センターでは、給食の献立を「生きた教材」として活用し、各学校と連携を図って、給食時間や各教科等で児童生徒の実態に合わせた食に関する指導を行った。　　　　　　　　　　　　</w:t>
      </w:r>
    </w:p>
    <w:p>
      <w:pPr>
        <w:pStyle w:val="0"/>
        <w:ind w:left="240" w:leftChars="100" w:firstLine="220" w:firstLineChars="100"/>
        <w:rPr>
          <w:rFonts w:hint="default"/>
          <w:color w:val="auto"/>
          <w:sz w:val="22"/>
        </w:rPr>
      </w:pPr>
      <w:r>
        <w:rPr>
          <w:rFonts w:hint="eastAsia"/>
          <w:color w:val="auto"/>
          <w:sz w:val="22"/>
        </w:rPr>
        <w:t>「給食献立予定表」及び「給食だより」を給食センターから保護者へ送付した。「給食献立予定表」については、町ホームページへ掲載して周知した。</w:t>
      </w:r>
      <w:r>
        <w:rPr>
          <w:rFonts w:hint="eastAsia"/>
          <w:color w:val="auto"/>
        </w:rPr>
        <mc:AlternateContent>
          <mc:Choice Requires="wps">
            <w:drawing>
              <wp:anchor distT="0" distB="0" distL="71755" distR="71755" simplePos="0" relativeHeight="9" behindDoc="0" locked="0" layoutInCell="1" hidden="0" allowOverlap="1">
                <wp:simplePos x="0" y="0"/>
                <wp:positionH relativeFrom="column">
                  <wp:posOffset>3444875</wp:posOffset>
                </wp:positionH>
                <wp:positionV relativeFrom="paragraph">
                  <wp:posOffset>101600</wp:posOffset>
                </wp:positionV>
                <wp:extent cx="15240" cy="0"/>
                <wp:effectExtent l="0" t="635" r="29210" b="10795"/>
                <wp:wrapNone/>
                <wp:docPr id="1033" name="オブジェクト 0"/>
                <a:graphic xmlns:a="http://schemas.openxmlformats.org/drawingml/2006/main">
                  <a:graphicData uri="http://schemas.microsoft.com/office/word/2010/wordprocessingShape">
                    <wps:wsp>
                      <wps:cNvPr id="1033" name="オブジェクト 0"/>
                      <wps:cNvSpPr/>
                      <wps:spPr>
                        <a:xfrm flipH="1">
                          <a:off x="0" y="0"/>
                          <a:ext cx="15240" cy="0"/>
                        </a:xfrm>
                        <a:prstGeom prst="line">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z-index:9;mso-position-horizontal-relative:text;mso-wrap-distance-top:0pt;position:absolute;mso-position-vertical-relative:text;mso-wrap-distance-bottom:0pt;mso-wrap-distance-left:5.65pt;mso-wrap-distance-right:5.65pt;flip:x;" o:spid="_x0000_s1033" o:allowincell="t" o:allowoverlap="t" filled="f" stroked="t" strokecolor="#000000 [3213]" strokeweight="0.5pt" o:spt="20" from="271.25pt,8pt" to="272.45pt,8pt">
                <v:fill/>
                <v:stroke linestyle="single" miterlimit="8" endcap="flat" dashstyle="solid" filltype="solid"/>
                <v:textbox style="layout-flow:horizontal;"/>
                <v:imagedata o:title=""/>
                <w10:wrap type="none" anchorx="text" anchory="text"/>
              </v:line>
            </w:pict>
          </mc:Fallback>
        </mc:AlternateContent>
      </w:r>
      <w:r>
        <w:rPr>
          <w:rFonts w:hint="eastAsia"/>
          <w:color w:val="auto"/>
          <w:sz w:val="22"/>
        </w:rPr>
        <w:t>　</w:t>
      </w:r>
    </w:p>
    <w:p>
      <w:pPr>
        <w:pStyle w:val="0"/>
        <w:ind w:left="220" w:hanging="220" w:hangingChars="100"/>
        <w:rPr>
          <w:rFonts w:hint="default"/>
          <w:color w:val="auto"/>
          <w:sz w:val="22"/>
        </w:rPr>
      </w:pPr>
      <w:r>
        <w:rPr>
          <w:rFonts w:hint="eastAsia"/>
          <w:color w:val="auto"/>
          <w:sz w:val="22"/>
        </w:rPr>
        <w:t>　　設備の管理では更新計画に基づき、食器洗浄機、学校の冷蔵庫等</w:t>
      </w:r>
      <w:r>
        <w:rPr>
          <w:rFonts w:hint="eastAsia" w:ascii="ＭＳ 明朝" w:hAnsi="ＭＳ 明朝"/>
          <w:color w:val="auto"/>
          <w:sz w:val="22"/>
        </w:rPr>
        <w:t>の入替</w:t>
      </w:r>
      <w:r>
        <w:rPr>
          <w:rFonts w:hint="eastAsia"/>
          <w:color w:val="auto"/>
          <w:sz w:val="22"/>
        </w:rPr>
        <w:t>を実施した。</w:t>
      </w:r>
    </w:p>
    <w:p>
      <w:pPr>
        <w:pStyle w:val="0"/>
        <w:rPr>
          <w:rFonts w:hint="default"/>
          <w:b w:val="1"/>
          <w:color w:val="auto"/>
          <w:sz w:val="22"/>
        </w:rPr>
      </w:pPr>
      <w:r>
        <w:rPr>
          <w:rFonts w:hint="eastAsia" w:ascii="ＭＳ 明朝" w:hAnsi="ＭＳ 明朝"/>
          <w:b w:val="1"/>
          <w:color w:val="auto"/>
          <w:sz w:val="22"/>
        </w:rPr>
        <w:t>【決算額】</w:t>
      </w:r>
    </w:p>
    <w:p>
      <w:pPr>
        <w:pStyle w:val="0"/>
        <w:ind w:left="221" w:leftChars="92" w:firstLine="220" w:firstLineChars="100"/>
        <w:rPr>
          <w:rFonts w:hint="default" w:ascii="ＭＳ 明朝" w:hAnsi="ＭＳ 明朝"/>
          <w:color w:val="auto"/>
          <w:sz w:val="22"/>
        </w:rPr>
      </w:pPr>
      <w:r>
        <w:rPr>
          <w:rFonts w:hint="eastAsia" w:ascii="ＭＳ 明朝" w:hAnsi="ＭＳ 明朝"/>
          <w:color w:val="auto"/>
          <w:sz w:val="22"/>
        </w:rPr>
        <w:t>第１０款　教育費　第５項　保健体育費　４目　給食センター費</w:t>
      </w:r>
    </w:p>
    <w:p>
      <w:pPr>
        <w:pStyle w:val="0"/>
        <w:rPr>
          <w:rFonts w:hint="default" w:ascii="ＭＳ 明朝" w:hAnsi="ＭＳ 明朝"/>
          <w:color w:val="auto"/>
          <w:sz w:val="22"/>
        </w:rPr>
      </w:pPr>
      <w:r>
        <w:rPr>
          <w:rFonts w:hint="eastAsia" w:ascii="ＭＳ 明朝" w:hAnsi="ＭＳ 明朝"/>
          <w:color w:val="auto"/>
          <w:sz w:val="22"/>
        </w:rPr>
        <w:t>　　　学校給食炊飯委託　２０</w:t>
      </w:r>
      <w:r>
        <w:rPr>
          <w:rFonts w:hint="eastAsia" w:ascii="ＭＳ 明朝" w:hAnsi="ＭＳ 明朝"/>
          <w:color w:val="auto"/>
          <w:sz w:val="22"/>
        </w:rPr>
        <w:t>,</w:t>
      </w:r>
      <w:r>
        <w:rPr>
          <w:rFonts w:hint="eastAsia" w:ascii="ＭＳ 明朝" w:hAnsi="ＭＳ 明朝"/>
          <w:color w:val="auto"/>
          <w:sz w:val="22"/>
        </w:rPr>
        <w:t>３９１千円　調理業務等委託　９９</w:t>
      </w:r>
      <w:r>
        <w:rPr>
          <w:rFonts w:hint="eastAsia" w:ascii="ＭＳ 明朝" w:hAnsi="ＭＳ 明朝"/>
          <w:color w:val="auto"/>
          <w:sz w:val="22"/>
        </w:rPr>
        <w:t>,</w:t>
      </w:r>
      <w:r>
        <w:rPr>
          <w:rFonts w:hint="eastAsia" w:ascii="ＭＳ 明朝" w:hAnsi="ＭＳ 明朝"/>
          <w:color w:val="auto"/>
          <w:sz w:val="22"/>
        </w:rPr>
        <w:t>１５４千円</w:t>
      </w:r>
    </w:p>
    <w:p>
      <w:pPr>
        <w:pStyle w:val="0"/>
        <w:ind w:left="0" w:leftChars="0" w:firstLine="660" w:firstLineChars="300"/>
        <w:rPr>
          <w:rFonts w:hint="default" w:ascii="ＭＳ 明朝" w:hAnsi="ＭＳ 明朝"/>
          <w:color w:val="auto"/>
          <w:sz w:val="22"/>
        </w:rPr>
      </w:pPr>
      <w:r>
        <w:rPr>
          <w:rFonts w:hint="eastAsia" w:ascii="ＭＳ 明朝" w:hAnsi="ＭＳ 明朝"/>
          <w:color w:val="auto"/>
          <w:sz w:val="22"/>
        </w:rPr>
        <w:t>食器洗浄機入替</w:t>
      </w:r>
      <w:r>
        <w:rPr>
          <w:rFonts w:hint="eastAsia"/>
          <w:color w:val="auto"/>
          <w:sz w:val="22"/>
        </w:rPr>
        <w:t>　５６</w:t>
      </w:r>
      <w:r>
        <w:rPr>
          <w:rFonts w:hint="eastAsia"/>
          <w:color w:val="auto"/>
          <w:sz w:val="22"/>
        </w:rPr>
        <w:t>,</w:t>
      </w:r>
      <w:r>
        <w:rPr>
          <w:rFonts w:hint="eastAsia"/>
          <w:color w:val="auto"/>
          <w:sz w:val="22"/>
        </w:rPr>
        <w:t>０９１</w:t>
      </w:r>
      <w:r>
        <w:rPr>
          <w:rFonts w:hint="eastAsia" w:ascii="ＭＳ 明朝" w:hAnsi="ＭＳ 明朝"/>
          <w:color w:val="auto"/>
          <w:sz w:val="22"/>
        </w:rPr>
        <w:t>千円　学校の冷蔵庫等の入替　９４３千円</w:t>
      </w:r>
    </w:p>
    <w:p>
      <w:pPr>
        <w:pStyle w:val="0"/>
        <w:rPr>
          <w:rFonts w:hint="default"/>
          <w:b w:val="1"/>
          <w:color w:val="auto"/>
          <w:sz w:val="22"/>
        </w:rPr>
      </w:pPr>
      <w:r>
        <w:rPr>
          <w:rFonts w:hint="eastAsia" w:ascii="ＭＳ 明朝" w:hAnsi="ＭＳ 明朝"/>
          <w:b w:val="1"/>
          <w:color w:val="auto"/>
          <w:sz w:val="22"/>
        </w:rPr>
        <w:t>【事業評価</w:t>
      </w:r>
      <w:r>
        <w:rPr>
          <w:rFonts w:hint="eastAsia" w:ascii="ＭＳ 明朝" w:hAnsi="ＭＳ 明朝"/>
          <w:b w:val="1"/>
          <w:color w:val="auto"/>
          <w:sz w:val="22"/>
        </w:rPr>
        <w:t>(</w:t>
      </w:r>
      <w:r>
        <w:rPr>
          <w:rFonts w:hint="eastAsia" w:ascii="ＭＳ 明朝" w:hAnsi="ＭＳ 明朝"/>
          <w:b w:val="1"/>
          <w:color w:val="auto"/>
          <w:sz w:val="22"/>
        </w:rPr>
        <w:t>自己評価</w:t>
      </w:r>
      <w:r>
        <w:rPr>
          <w:rFonts w:hint="eastAsia" w:ascii="ＭＳ 明朝" w:hAnsi="ＭＳ 明朝"/>
          <w:b w:val="1"/>
          <w:color w:val="auto"/>
          <w:sz w:val="22"/>
        </w:rPr>
        <w:t>)</w:t>
      </w:r>
      <w:r>
        <w:rPr>
          <w:rFonts w:hint="eastAsia" w:ascii="ＭＳ 明朝" w:hAnsi="ＭＳ 明朝"/>
          <w:b w:val="1"/>
          <w:color w:val="auto"/>
          <w:sz w:val="22"/>
        </w:rPr>
        <w:t>】</w:t>
      </w:r>
    </w:p>
    <w:p>
      <w:pPr>
        <w:pStyle w:val="0"/>
        <w:ind w:left="182" w:leftChars="-16" w:hanging="220" w:hangingChars="100"/>
        <w:rPr>
          <w:rFonts w:hint="default"/>
          <w:color w:val="auto"/>
          <w:sz w:val="22"/>
        </w:rPr>
      </w:pPr>
      <w:r>
        <w:rPr>
          <w:rFonts w:hint="eastAsia"/>
          <w:color w:val="auto"/>
          <w:sz w:val="22"/>
        </w:rPr>
        <w:t>　　食に関する指導においては、各学校と連携を図りながら取り組むことができた。</w:t>
      </w:r>
    </w:p>
    <w:p>
      <w:pPr>
        <w:pStyle w:val="0"/>
        <w:ind w:left="202" w:leftChars="84" w:firstLine="220" w:firstLineChars="100"/>
        <w:rPr>
          <w:rFonts w:hint="default"/>
          <w:color w:val="auto"/>
          <w:sz w:val="22"/>
        </w:rPr>
      </w:pPr>
      <w:r>
        <w:rPr>
          <w:rFonts w:hint="eastAsia"/>
          <w:color w:val="auto"/>
          <w:sz w:val="22"/>
        </w:rPr>
        <w:t>栄養教諭が年間を通じ計画的に学校訪問することにより、学校での食育に対しての意識付けや正しい食事マナーの習得が図られた。</w:t>
      </w:r>
    </w:p>
    <w:p>
      <w:pPr>
        <w:pStyle w:val="0"/>
        <w:ind w:left="240" w:leftChars="100" w:firstLine="220" w:firstLineChars="100"/>
        <w:rPr>
          <w:rFonts w:hint="default"/>
          <w:color w:val="auto"/>
          <w:sz w:val="22"/>
        </w:rPr>
      </w:pPr>
      <w:r>
        <w:rPr>
          <w:rFonts w:hint="eastAsia" w:ascii="ＭＳ 明朝" w:hAnsi="ＭＳ 明朝"/>
          <w:color w:val="auto"/>
          <w:sz w:val="22"/>
        </w:rPr>
        <w:t>また、町内の小中学校児童生徒に「食生活アンケート」を実施し、その結果についてとりまとめ、各校の食育を推進することができるよう資料の提供を行うことができた。</w:t>
      </w:r>
    </w:p>
    <w:p>
      <w:pPr>
        <w:pStyle w:val="0"/>
        <w:ind w:left="220" w:hanging="220" w:hangingChars="100"/>
        <w:rPr>
          <w:rFonts w:hint="default"/>
          <w:color w:val="auto"/>
          <w:sz w:val="22"/>
        </w:rPr>
      </w:pPr>
      <w:r>
        <w:rPr>
          <w:rFonts w:hint="eastAsia"/>
          <w:color w:val="auto"/>
          <w:sz w:val="22"/>
        </w:rPr>
        <w:t>　　献立予定表を町ホームページに掲載したことにより、給食における栄養バランスやアレルギー対応など健康や安全への取組、行事食や郷土食など学校給食を通じた食育についての取組を周知することができた。</w:t>
      </w:r>
    </w:p>
    <w:p>
      <w:pPr>
        <w:pStyle w:val="0"/>
        <w:ind w:left="220" w:hanging="220" w:hangingChars="100"/>
        <w:rPr>
          <w:rFonts w:hint="default"/>
          <w:color w:val="auto"/>
          <w:sz w:val="22"/>
        </w:rPr>
      </w:pPr>
      <w:r>
        <w:rPr>
          <w:rFonts w:hint="eastAsia"/>
          <w:color w:val="auto"/>
          <w:sz w:val="22"/>
        </w:rPr>
        <w:t>　　季節や行事に合わせたメニューや、県産の食材を使用した特別メニューを提供するなど、献立に工夫を凝らし、より児童生徒の食への関心を高めることができた。</w:t>
      </w:r>
    </w:p>
    <w:p>
      <w:pPr>
        <w:pStyle w:val="0"/>
        <w:ind w:left="240" w:leftChars="100" w:firstLine="220" w:firstLineChars="100"/>
        <w:rPr>
          <w:rFonts w:hint="default"/>
          <w:color w:val="auto"/>
          <w:sz w:val="22"/>
        </w:rPr>
      </w:pPr>
      <w:r>
        <w:rPr>
          <w:rFonts w:hint="eastAsia"/>
          <w:color w:val="auto"/>
          <w:sz w:val="22"/>
        </w:rPr>
        <w:t>「学校における食中毒発生（疑い）時の対応マニュアル」により、関係機関が連携して児童生徒に対し安全対策を行う上での共通認識を持てた。</w:t>
      </w:r>
    </w:p>
    <w:p>
      <w:pPr>
        <w:pStyle w:val="0"/>
        <w:ind w:left="240" w:leftChars="100"/>
        <w:rPr>
          <w:rFonts w:hint="default"/>
          <w:color w:val="auto"/>
          <w:sz w:val="22"/>
        </w:rPr>
      </w:pPr>
      <w:r>
        <w:rPr>
          <w:rFonts w:hint="eastAsia"/>
          <w:color w:val="auto"/>
          <w:sz w:val="22"/>
        </w:rPr>
        <w:t>　給食における食物アレルギー対応については、鶏卵、飲用牛乳、乳製品デザートの代替食を引き続き提供している。</w:t>
      </w:r>
    </w:p>
    <w:p>
      <w:pPr>
        <w:pStyle w:val="0"/>
        <w:ind w:left="220" w:hanging="220" w:hangingChars="100"/>
        <w:rPr>
          <w:rFonts w:hint="default"/>
          <w:color w:val="auto"/>
          <w:sz w:val="22"/>
        </w:rPr>
      </w:pPr>
      <w:r>
        <w:rPr>
          <w:rFonts w:hint="eastAsia"/>
          <w:color w:val="auto"/>
          <w:sz w:val="22"/>
        </w:rPr>
        <w:t>　　例年１月２４日から１週間行う給食週間事業として、児童生徒が学校給食に関する生産者、納入業者等との交流を図ることを目的に会食を開催することにより、地元で作られている農産物に関心を持ち郷土の産業について理解を深めることができた。</w:t>
      </w:r>
    </w:p>
    <w:p>
      <w:pPr>
        <w:pStyle w:val="0"/>
        <w:ind w:left="220" w:hanging="220" w:hangingChars="100"/>
        <w:rPr>
          <w:rFonts w:hint="default"/>
          <w:color w:val="auto"/>
          <w:sz w:val="22"/>
        </w:rPr>
      </w:pPr>
      <w:r>
        <w:rPr>
          <w:rFonts w:hint="eastAsia"/>
          <w:color w:val="auto"/>
          <w:sz w:val="22"/>
        </w:rPr>
        <w:t>　　栄養教諭が作成した指導等に活用できる資料を各学校へ配布し、給食に対する理解と関心の向上に寄与することができるよう努めた。</w:t>
      </w:r>
    </w:p>
    <w:p>
      <w:pPr>
        <w:pStyle w:val="0"/>
        <w:ind w:left="220" w:hanging="220" w:hangingChars="100"/>
        <w:rPr>
          <w:rFonts w:hint="default" w:ascii="ＭＳ 明朝" w:hAnsi="ＭＳ 明朝"/>
          <w:color w:val="auto"/>
          <w:sz w:val="22"/>
        </w:rPr>
      </w:pPr>
      <w:r>
        <w:rPr>
          <w:rFonts w:hint="eastAsia"/>
          <w:color w:val="auto"/>
          <w:sz w:val="22"/>
        </w:rPr>
        <w:t>　　設備管理については、今後も更新計画に基づき、大型調理機器等の更新</w:t>
      </w:r>
      <w:r>
        <w:rPr>
          <w:rFonts w:hint="eastAsia" w:ascii="ＭＳ 明朝" w:hAnsi="ＭＳ 明朝"/>
          <w:color w:val="auto"/>
          <w:sz w:val="22"/>
        </w:rPr>
        <w:t>を実施し、給食の安定的提供を維持していく。</w:t>
      </w:r>
    </w:p>
    <w:p>
      <w:pPr>
        <w:pStyle w:val="0"/>
        <w:ind w:left="221" w:hanging="221" w:hangingChars="100"/>
        <w:rPr>
          <w:rFonts w:hint="default" w:ascii="ＭＳ 明朝" w:hAnsi="ＭＳ 明朝"/>
          <w:b w:val="1"/>
          <w:color w:val="auto"/>
          <w:sz w:val="22"/>
        </w:rPr>
      </w:pPr>
      <w:r>
        <w:rPr>
          <w:rFonts w:hint="eastAsia" w:ascii="ＭＳ 明朝" w:hAnsi="ＭＳ 明朝"/>
          <w:b w:val="1"/>
          <w:color w:val="auto"/>
          <w:sz w:val="22"/>
        </w:rPr>
        <w:t>【外部評価者の点検・評価の概要】</w:t>
      </w:r>
    </w:p>
    <w:p>
      <w:pPr>
        <w:pStyle w:val="0"/>
        <w:ind w:left="440" w:hanging="440" w:hangingChars="200"/>
        <w:rPr>
          <w:rFonts w:hint="default" w:ascii="ＭＳ 明朝" w:hAnsi="ＭＳ 明朝"/>
          <w:color w:val="auto"/>
          <w:sz w:val="22"/>
        </w:rPr>
      </w:pPr>
      <w:r>
        <w:rPr>
          <w:rFonts w:hint="eastAsia" w:ascii="ＭＳ 明朝" w:hAnsi="ＭＳ 明朝"/>
          <w:color w:val="auto"/>
          <w:sz w:val="22"/>
        </w:rPr>
        <w:t>　・食中毒を出していないことがすばらしい。食中毒発生時の対応マニュアルに基づき、センター・学校・家庭が連携して管理を徹底している。検食もセンターと学校で確実に実施されている。</w:t>
      </w:r>
    </w:p>
    <w:p>
      <w:pPr>
        <w:pStyle w:val="0"/>
        <w:ind w:left="482" w:hanging="482" w:hangingChars="200"/>
        <w:rPr>
          <w:rFonts w:hint="eastAsia" w:ascii="ＭＳ 明朝" w:hAnsi="ＭＳ 明朝"/>
          <w:b w:val="1"/>
          <w:color w:val="auto"/>
        </w:rPr>
      </w:pPr>
      <w:r>
        <w:rPr>
          <w:rFonts w:hint="eastAsia" w:ascii="ＭＳ 明朝" w:hAnsi="ＭＳ 明朝"/>
          <w:b w:val="1"/>
          <w:color w:val="auto"/>
        </w:rPr>
        <w:t xml:space="preserve">  </w:t>
      </w:r>
      <w:r>
        <w:rPr>
          <w:rFonts w:hint="eastAsia" w:ascii="ＭＳ 明朝" w:hAnsi="ＭＳ 明朝"/>
          <w:b w:val="0"/>
          <w:color w:val="auto"/>
          <w:sz w:val="22"/>
        </w:rPr>
        <w:t>・アレルギーを持っている子どもは増えているが、代替食の提供などにより安全に対応されている。</w:t>
      </w:r>
    </w:p>
    <w:p>
      <w:pPr>
        <w:pStyle w:val="0"/>
        <w:ind w:left="482" w:hanging="482" w:hangingChars="200"/>
        <w:rPr>
          <w:rFonts w:hint="eastAsia" w:ascii="ＭＳ 明朝" w:hAnsi="ＭＳ 明朝"/>
          <w:b w:val="1"/>
          <w:color w:val="auto"/>
        </w:rPr>
      </w:pPr>
    </w:p>
    <w:p>
      <w:pPr>
        <w:pStyle w:val="0"/>
        <w:rPr>
          <w:rFonts w:hint="default"/>
          <w:color w:val="auto"/>
        </w:rPr>
      </w:pPr>
      <w:r>
        <w:rPr>
          <w:rFonts w:hint="default" w:ascii="ＭＳ 明朝" w:hAnsi="ＭＳ 明朝"/>
          <w:b w:val="1"/>
          <w:color w:val="auto"/>
        </w:rPr>
        <w:t>➍</w:t>
      </w:r>
      <w:r>
        <w:rPr>
          <w:rFonts w:hint="eastAsia"/>
          <w:b w:val="1"/>
          <w:color w:val="auto"/>
        </w:rPr>
        <w:t>　学校施設・設備の整備</w:t>
      </w:r>
    </w:p>
    <w:p>
      <w:pPr>
        <w:pStyle w:val="0"/>
        <w:rPr>
          <w:rFonts w:hint="default"/>
          <w:b w:val="1"/>
          <w:color w:val="auto"/>
          <w:sz w:val="22"/>
        </w:rPr>
      </w:pPr>
      <w:r>
        <w:rPr>
          <w:rFonts w:hint="eastAsia" w:ascii="ＭＳ 明朝" w:hAnsi="ＭＳ 明朝"/>
          <w:b w:val="1"/>
          <w:color w:val="auto"/>
          <w:sz w:val="22"/>
        </w:rPr>
        <w:t>【事務・事業の概要】</w:t>
      </w:r>
    </w:p>
    <w:p>
      <w:pPr>
        <w:pStyle w:val="0"/>
        <w:rPr>
          <w:rFonts w:hint="default"/>
          <w:b w:val="1"/>
          <w:color w:val="auto"/>
          <w:sz w:val="22"/>
        </w:rPr>
      </w:pPr>
      <w:r>
        <w:rPr>
          <w:rFonts w:hint="eastAsia" w:ascii="ＭＳ 明朝" w:hAnsi="ＭＳ 明朝"/>
          <w:b w:val="1"/>
          <w:color w:val="auto"/>
          <w:sz w:val="22"/>
        </w:rPr>
        <w:t>１　目的及び効果</w:t>
      </w:r>
    </w:p>
    <w:p>
      <w:pPr>
        <w:pStyle w:val="0"/>
        <w:ind w:left="240" w:leftChars="100" w:firstLine="220" w:firstLineChars="100"/>
        <w:rPr>
          <w:rFonts w:hint="default" w:ascii="ＭＳ 明朝" w:hAnsi="ＭＳ 明朝"/>
          <w:color w:val="auto"/>
          <w:sz w:val="22"/>
        </w:rPr>
      </w:pPr>
      <w:r>
        <w:rPr>
          <w:rFonts w:hint="eastAsia" w:ascii="ＭＳ 明朝" w:hAnsi="ＭＳ 明朝"/>
          <w:color w:val="auto"/>
          <w:sz w:val="22"/>
        </w:rPr>
        <w:t>学校施設は、児童生徒などが一日の大半を過ごす活動の場であり、児童生徒の生きる力を育むための教育環境として重要な意義を持っている。</w:t>
      </w:r>
    </w:p>
    <w:p>
      <w:pPr>
        <w:pStyle w:val="0"/>
        <w:ind w:left="240" w:leftChars="100" w:firstLine="220" w:firstLineChars="100"/>
        <w:rPr>
          <w:rFonts w:hint="default"/>
          <w:color w:val="auto"/>
          <w:sz w:val="22"/>
        </w:rPr>
      </w:pPr>
      <w:r>
        <w:rPr>
          <w:rFonts w:hint="eastAsia"/>
          <w:color w:val="auto"/>
          <w:sz w:val="22"/>
        </w:rPr>
        <w:t>教育委員会では、小学校７校、中学校３校の校舎、屋内運動場、屋外プール施設等を所管管理しており、施設の老朽化対策等、必要な工事等を実施することにより、安全安心で快適な教育環境を確保する。</w:t>
      </w:r>
    </w:p>
    <w:p>
      <w:pPr>
        <w:pStyle w:val="0"/>
        <w:rPr>
          <w:rFonts w:hint="default"/>
          <w:color w:val="auto"/>
          <w:sz w:val="22"/>
        </w:rPr>
      </w:pPr>
      <w:r>
        <w:rPr>
          <w:rFonts w:hint="eastAsia"/>
          <w:b w:val="1"/>
          <w:color w:val="auto"/>
          <w:sz w:val="22"/>
        </w:rPr>
        <w:t>２　事業主体</w:t>
      </w:r>
    </w:p>
    <w:p>
      <w:pPr>
        <w:pStyle w:val="0"/>
        <w:rPr>
          <w:rFonts w:hint="default"/>
          <w:b w:val="1"/>
          <w:color w:val="auto"/>
          <w:sz w:val="22"/>
        </w:rPr>
      </w:pPr>
      <w:r>
        <w:rPr>
          <w:rFonts w:hint="eastAsia"/>
          <w:b w:val="1"/>
          <w:color w:val="auto"/>
          <w:sz w:val="22"/>
        </w:rPr>
        <w:t>　　</w:t>
      </w:r>
      <w:r>
        <w:rPr>
          <w:rFonts w:hint="eastAsia"/>
          <w:color w:val="auto"/>
          <w:sz w:val="22"/>
        </w:rPr>
        <w:t>教育総務課</w:t>
      </w:r>
    </w:p>
    <w:p>
      <w:pPr>
        <w:pStyle w:val="0"/>
        <w:rPr>
          <w:rFonts w:hint="default"/>
          <w:b w:val="1"/>
          <w:color w:val="auto"/>
          <w:sz w:val="22"/>
        </w:rPr>
      </w:pPr>
      <w:r>
        <w:rPr>
          <w:rFonts w:hint="eastAsia"/>
          <w:b w:val="1"/>
          <w:color w:val="auto"/>
          <w:sz w:val="22"/>
        </w:rPr>
        <w:t>３　事業内容及び状況</w:t>
      </w:r>
    </w:p>
    <w:p>
      <w:pPr>
        <w:pStyle w:val="0"/>
        <w:ind w:left="240" w:leftChars="100" w:firstLine="220" w:firstLineChars="100"/>
        <w:rPr>
          <w:rFonts w:hint="default"/>
          <w:color w:val="auto"/>
          <w:sz w:val="22"/>
          <w:u w:val="single" w:color="auto"/>
        </w:rPr>
      </w:pPr>
      <w:r>
        <w:rPr>
          <w:rFonts w:hint="eastAsia"/>
          <w:color w:val="auto"/>
          <w:sz w:val="22"/>
        </w:rPr>
        <w:t>各小中学校については、校舎は４２年から６０年、屋内運動場は上三川小学校を除き２０年から４８年、屋外プールは２１年から６１年、建設後経過している状況である。</w:t>
      </w:r>
    </w:p>
    <w:p>
      <w:pPr>
        <w:pStyle w:val="0"/>
        <w:ind w:left="240" w:leftChars="100" w:firstLine="220" w:firstLineChars="100"/>
        <w:rPr>
          <w:rFonts w:hint="default"/>
          <w:color w:val="auto"/>
          <w:sz w:val="22"/>
        </w:rPr>
      </w:pPr>
      <w:r>
        <w:rPr>
          <w:rStyle w:val="25"/>
          <w:rFonts w:hint="eastAsia" w:ascii="ＭＳ 明朝" w:hAnsi="ＭＳ 明朝"/>
          <w:color w:val="auto"/>
          <w:sz w:val="22"/>
        </w:rPr>
        <w:t>施設設備維持改修として、本郷小学校小荷物専用昇降機修繕工事、北</w:t>
      </w:r>
      <w:r>
        <w:rPr>
          <w:rFonts w:hint="eastAsia" w:ascii="ＭＳ 明朝" w:hAnsi="ＭＳ 明朝"/>
          <w:color w:val="auto"/>
          <w:sz w:val="22"/>
        </w:rPr>
        <w:t>小学校給水設備</w:t>
      </w:r>
      <w:r>
        <w:rPr>
          <w:rStyle w:val="25"/>
          <w:rFonts w:hint="eastAsia" w:ascii="ＭＳ 明朝" w:hAnsi="ＭＳ 明朝"/>
          <w:color w:val="auto"/>
          <w:sz w:val="22"/>
        </w:rPr>
        <w:t>改修工事等を実施した。また、</w:t>
      </w:r>
      <w:r>
        <w:rPr>
          <w:rFonts w:hint="eastAsia"/>
          <w:color w:val="auto"/>
          <w:sz w:val="22"/>
        </w:rPr>
        <w:t>大規模改修として、上三川中・本郷北小・明治南小学校屋内運動場照明器具ＬＥＤ化等改修工事を実施した。</w:t>
      </w:r>
    </w:p>
    <w:p>
      <w:pPr>
        <w:pStyle w:val="0"/>
        <w:ind w:left="240" w:leftChars="100" w:firstLine="220" w:firstLineChars="100"/>
        <w:rPr>
          <w:rFonts w:hint="default"/>
          <w:color w:val="auto"/>
          <w:sz w:val="22"/>
        </w:rPr>
      </w:pPr>
      <w:r>
        <w:rPr>
          <w:rFonts w:hint="eastAsia"/>
          <w:color w:val="auto"/>
          <w:sz w:val="22"/>
        </w:rPr>
        <w:t>また、町内小中学校照明器具</w:t>
      </w:r>
      <w:r>
        <w:rPr>
          <w:rFonts w:hint="eastAsia" w:ascii="ＭＳ 明朝" w:hAnsi="ＭＳ 明朝" w:eastAsia="ＭＳ 明朝"/>
          <w:color w:val="auto"/>
          <w:sz w:val="22"/>
        </w:rPr>
        <w:t>ＬＥＤ化のため、</w:t>
      </w:r>
      <w:r>
        <w:rPr>
          <w:rFonts w:hint="eastAsia"/>
          <w:color w:val="auto"/>
          <w:sz w:val="22"/>
        </w:rPr>
        <w:t>工事設計業務委託を実施した。</w:t>
      </w:r>
    </w:p>
    <w:p>
      <w:pPr>
        <w:pStyle w:val="0"/>
        <w:rPr>
          <w:rFonts w:hint="default"/>
          <w:color w:val="auto"/>
          <w:sz w:val="22"/>
        </w:rPr>
      </w:pPr>
      <w:r>
        <w:rPr>
          <w:rFonts w:hint="eastAsia" w:ascii="ＭＳ 明朝" w:hAnsi="ＭＳ 明朝"/>
          <w:b w:val="1"/>
          <w:color w:val="auto"/>
          <w:sz w:val="22"/>
        </w:rPr>
        <w:t>【決算額】</w:t>
      </w:r>
    </w:p>
    <w:p>
      <w:pPr>
        <w:pStyle w:val="0"/>
        <w:rPr>
          <w:rFonts w:hint="default"/>
          <w:color w:val="auto"/>
          <w:sz w:val="22"/>
        </w:rPr>
      </w:pPr>
      <w:r>
        <w:rPr>
          <w:rFonts w:hint="eastAsia"/>
          <w:color w:val="auto"/>
          <w:sz w:val="22"/>
        </w:rPr>
        <w:t>　　第１０款　教育費　第２項　小学校費、第３項　中学校費　外</w:t>
      </w:r>
    </w:p>
    <w:p>
      <w:pPr>
        <w:pStyle w:val="0"/>
        <w:rPr>
          <w:rFonts w:hint="default" w:ascii="ＭＳ 明朝" w:hAnsi="ＭＳ 明朝"/>
          <w:color w:val="auto"/>
          <w:sz w:val="22"/>
        </w:rPr>
      </w:pPr>
      <w:r>
        <w:rPr>
          <w:rFonts w:hint="eastAsia"/>
          <w:color w:val="auto"/>
          <w:sz w:val="22"/>
        </w:rPr>
        <w:t>　　　</w:t>
      </w:r>
      <w:r>
        <w:rPr>
          <w:rFonts w:hint="eastAsia" w:ascii="ＭＳ 明朝" w:hAnsi="ＭＳ 明朝"/>
          <w:color w:val="auto"/>
          <w:sz w:val="22"/>
        </w:rPr>
        <w:t>設計　８</w:t>
      </w:r>
      <w:r>
        <w:rPr>
          <w:rFonts w:hint="eastAsia" w:ascii="ＭＳ 明朝" w:hAnsi="ＭＳ 明朝"/>
          <w:color w:val="auto"/>
          <w:sz w:val="22"/>
        </w:rPr>
        <w:t>,</w:t>
      </w:r>
      <w:r>
        <w:rPr>
          <w:rFonts w:hint="eastAsia" w:ascii="ＭＳ 明朝" w:hAnsi="ＭＳ 明朝"/>
          <w:color w:val="auto"/>
          <w:sz w:val="22"/>
        </w:rPr>
        <w:t>５５８千円</w:t>
      </w:r>
      <w:r>
        <w:rPr>
          <w:rFonts w:hint="eastAsia" w:ascii="ＭＳ 明朝" w:hAnsi="ＭＳ 明朝"/>
          <w:color w:val="auto"/>
          <w:sz w:val="22"/>
        </w:rPr>
        <w:t xml:space="preserve"> </w:t>
      </w:r>
      <w:r>
        <w:rPr>
          <w:rFonts w:hint="default" w:ascii="ＭＳ 明朝" w:hAnsi="ＭＳ 明朝"/>
          <w:color w:val="auto"/>
          <w:sz w:val="22"/>
        </w:rPr>
        <w:t xml:space="preserve"> </w:t>
      </w:r>
      <w:r>
        <w:rPr>
          <w:rFonts w:hint="eastAsia" w:ascii="ＭＳ 明朝" w:hAnsi="ＭＳ 明朝"/>
          <w:color w:val="auto"/>
          <w:sz w:val="22"/>
        </w:rPr>
        <w:t>工事監理　５</w:t>
      </w:r>
      <w:r>
        <w:rPr>
          <w:rFonts w:hint="eastAsia" w:ascii="ＭＳ 明朝" w:hAnsi="ＭＳ 明朝"/>
          <w:color w:val="auto"/>
          <w:sz w:val="22"/>
        </w:rPr>
        <w:t>,</w:t>
      </w:r>
      <w:r>
        <w:rPr>
          <w:rFonts w:hint="eastAsia" w:ascii="ＭＳ 明朝" w:hAnsi="ＭＳ 明朝"/>
          <w:color w:val="auto"/>
          <w:sz w:val="22"/>
        </w:rPr>
        <w:t>７０９千円</w:t>
      </w:r>
      <w:r>
        <w:rPr>
          <w:rFonts w:hint="eastAsia" w:ascii="ＭＳ 明朝" w:hAnsi="ＭＳ 明朝"/>
          <w:color w:val="auto"/>
          <w:sz w:val="22"/>
        </w:rPr>
        <w:t xml:space="preserve"> </w:t>
      </w:r>
      <w:r>
        <w:rPr>
          <w:rFonts w:hint="default" w:ascii="ＭＳ 明朝" w:hAnsi="ＭＳ 明朝"/>
          <w:color w:val="auto"/>
          <w:sz w:val="22"/>
        </w:rPr>
        <w:t xml:space="preserve"> </w:t>
      </w:r>
    </w:p>
    <w:p>
      <w:pPr>
        <w:pStyle w:val="0"/>
        <w:ind w:firstLine="660" w:firstLineChars="300"/>
        <w:rPr>
          <w:rFonts w:hint="default" w:ascii="ＭＳ 明朝" w:hAnsi="ＭＳ 明朝"/>
          <w:color w:val="auto"/>
          <w:sz w:val="22"/>
        </w:rPr>
      </w:pPr>
      <w:r>
        <w:rPr>
          <w:rFonts w:hint="eastAsia" w:ascii="ＭＳ 明朝" w:hAnsi="ＭＳ 明朝"/>
          <w:color w:val="auto"/>
          <w:sz w:val="22"/>
        </w:rPr>
        <w:t>工事請負費　４５５</w:t>
      </w:r>
      <w:r>
        <w:rPr>
          <w:rFonts w:hint="eastAsia" w:ascii="ＭＳ 明朝" w:hAnsi="ＭＳ 明朝"/>
          <w:color w:val="auto"/>
          <w:sz w:val="22"/>
        </w:rPr>
        <w:t>,</w:t>
      </w:r>
      <w:r>
        <w:rPr>
          <w:rFonts w:hint="eastAsia" w:ascii="ＭＳ 明朝" w:hAnsi="ＭＳ 明朝"/>
          <w:color w:val="auto"/>
          <w:sz w:val="22"/>
        </w:rPr>
        <w:t>４７７千円</w:t>
      </w:r>
    </w:p>
    <w:p>
      <w:pPr>
        <w:pStyle w:val="0"/>
        <w:rPr>
          <w:rFonts w:hint="default"/>
          <w:b w:val="1"/>
          <w:color w:val="auto"/>
          <w:sz w:val="22"/>
        </w:rPr>
      </w:pPr>
      <w:r>
        <w:rPr>
          <w:rFonts w:hint="eastAsia" w:ascii="ＭＳ 明朝" w:hAnsi="ＭＳ 明朝"/>
          <w:b w:val="1"/>
          <w:color w:val="auto"/>
          <w:sz w:val="22"/>
        </w:rPr>
        <w:t>【事業評価（自己評価）】</w:t>
      </w:r>
    </w:p>
    <w:p>
      <w:pPr>
        <w:pStyle w:val="0"/>
        <w:ind w:left="220" w:hanging="220" w:hangingChars="100"/>
        <w:rPr>
          <w:rFonts w:hint="eastAsia" w:ascii="ＭＳ 明朝" w:hAnsi="ＭＳ 明朝" w:eastAsia="ＭＳ 明朝"/>
          <w:color w:val="auto"/>
          <w:sz w:val="22"/>
        </w:rPr>
      </w:pPr>
      <w:r>
        <w:rPr>
          <w:rFonts w:hint="eastAsia"/>
          <w:color w:val="auto"/>
          <w:sz w:val="22"/>
        </w:rPr>
        <w:t>　　</w:t>
      </w:r>
      <w:r>
        <w:rPr>
          <w:rFonts w:hint="eastAsia" w:ascii="ＭＳ 明朝" w:hAnsi="ＭＳ 明朝" w:eastAsia="ＭＳ 明朝"/>
          <w:color w:val="auto"/>
          <w:sz w:val="22"/>
        </w:rPr>
        <w:t>給水設備や消防設備の改修を行い、学校施設の安全性を維持することができた。</w:t>
      </w:r>
    </w:p>
    <w:p>
      <w:pPr>
        <w:pStyle w:val="0"/>
        <w:ind w:left="240" w:leftChars="100" w:firstLine="220" w:firstLineChars="100"/>
        <w:rPr>
          <w:rFonts w:hint="eastAsia" w:ascii="ＭＳ 明朝" w:hAnsi="ＭＳ 明朝" w:eastAsia="ＭＳ 明朝"/>
          <w:color w:val="auto"/>
          <w:sz w:val="22"/>
        </w:rPr>
      </w:pPr>
      <w:r>
        <w:rPr>
          <w:rFonts w:hint="eastAsia" w:ascii="ＭＳ 明朝" w:hAnsi="ＭＳ 明朝" w:eastAsia="ＭＳ 明朝"/>
          <w:color w:val="auto"/>
          <w:sz w:val="22"/>
        </w:rPr>
        <w:t>また、屋内運動場照明器具ＬＥＤ化等改修工事を実施することで、施設の長寿命化、経費の縮小等につながることができた。</w:t>
      </w:r>
    </w:p>
    <w:p>
      <w:pPr>
        <w:pStyle w:val="0"/>
        <w:ind w:left="240" w:leftChars="100" w:firstLine="220" w:firstLineChars="100"/>
        <w:rPr>
          <w:rFonts w:hint="default" w:ascii="ＭＳ 明朝" w:hAnsi="ＭＳ 明朝"/>
          <w:b w:val="1"/>
          <w:color w:val="auto"/>
          <w:sz w:val="22"/>
        </w:rPr>
      </w:pPr>
      <w:r>
        <w:rPr>
          <w:rFonts w:hint="eastAsia" w:ascii="ＭＳ 明朝" w:hAnsi="ＭＳ 明朝" w:eastAsia="ＭＳ 明朝"/>
          <w:color w:val="auto"/>
          <w:sz w:val="22"/>
        </w:rPr>
        <w:t>屋内運動場に空調設備を設置し、令和８年度より運用を開始する。授業や部活動の熱中症対策や、災害時の避難所運営において安全確保に努めていく。</w:t>
      </w:r>
    </w:p>
    <w:p>
      <w:pPr>
        <w:pStyle w:val="0"/>
        <w:ind w:left="220" w:hanging="220" w:hangingChars="100"/>
        <w:rPr>
          <w:rFonts w:hint="default" w:ascii="ＭＳ 明朝" w:hAnsi="ＭＳ 明朝"/>
          <w:b w:val="1"/>
          <w:color w:val="auto"/>
          <w:sz w:val="22"/>
        </w:rPr>
      </w:pPr>
      <w:r>
        <w:rPr>
          <w:rFonts w:hint="eastAsia" w:ascii="ＭＳ 明朝" w:hAnsi="ＭＳ 明朝"/>
          <w:b w:val="1"/>
          <w:color w:val="auto"/>
          <w:sz w:val="22"/>
        </w:rPr>
        <w:t>【外部評価者の点検・評価の概要】</w:t>
      </w:r>
    </w:p>
    <w:p>
      <w:pPr>
        <w:pStyle w:val="0"/>
        <w:ind w:left="440" w:hanging="440" w:hangingChars="200"/>
        <w:rPr>
          <w:rFonts w:hint="eastAsia"/>
          <w:color w:val="auto"/>
          <w:sz w:val="22"/>
        </w:rPr>
      </w:pPr>
      <w:r>
        <w:rPr>
          <w:rFonts w:hint="eastAsia"/>
          <w:color w:val="auto"/>
          <w:sz w:val="22"/>
        </w:rPr>
        <w:t>　・ＬＥＤ化により体育館が非常に明るくなり、学校施設開放事業での夜間利用がしやすくなった。</w:t>
      </w:r>
    </w:p>
    <w:p>
      <w:pPr>
        <w:pStyle w:val="0"/>
        <w:ind w:left="440" w:hanging="440" w:hangingChars="200"/>
        <w:rPr>
          <w:rFonts w:hint="eastAsia"/>
          <w:color w:val="auto"/>
          <w:sz w:val="22"/>
        </w:rPr>
      </w:pPr>
      <w:r>
        <w:rPr>
          <w:rFonts w:hint="eastAsia"/>
          <w:color w:val="auto"/>
          <w:sz w:val="22"/>
        </w:rPr>
        <w:t>　・体育館に空調設備を設置したことで部活動の実施や避難所としての機能が向上した。</w:t>
      </w:r>
    </w:p>
    <w:p>
      <w:pPr>
        <w:pStyle w:val="0"/>
        <w:ind w:left="440" w:hanging="440" w:hangingChars="200"/>
        <w:rPr>
          <w:rFonts w:hint="eastAsia"/>
          <w:color w:val="auto"/>
          <w:sz w:val="22"/>
        </w:rPr>
      </w:pPr>
    </w:p>
    <w:p>
      <w:pPr>
        <w:pStyle w:val="0"/>
        <w:ind w:left="440" w:hanging="440" w:hangingChars="200"/>
        <w:rPr>
          <w:rFonts w:hint="eastAsia"/>
          <w:color w:val="auto"/>
          <w:sz w:val="22"/>
        </w:rPr>
      </w:pPr>
    </w:p>
    <w:p>
      <w:pPr>
        <w:pStyle w:val="0"/>
        <w:ind w:left="440" w:hanging="440" w:hangingChars="200"/>
        <w:rPr>
          <w:rFonts w:hint="eastAsia"/>
          <w:color w:val="auto"/>
          <w:sz w:val="22"/>
        </w:rPr>
      </w:pPr>
    </w:p>
    <w:p>
      <w:pPr>
        <w:pStyle w:val="0"/>
        <w:ind w:left="440" w:hanging="440" w:hangingChars="200"/>
        <w:rPr>
          <w:rFonts w:hint="eastAsia"/>
          <w:color w:val="auto"/>
          <w:sz w:val="22"/>
        </w:rPr>
      </w:pPr>
    </w:p>
    <w:p>
      <w:pPr>
        <w:pStyle w:val="0"/>
        <w:ind w:left="440" w:hanging="440" w:hangingChars="200"/>
        <w:rPr>
          <w:rFonts w:hint="eastAsia"/>
          <w:color w:val="auto"/>
          <w:sz w:val="22"/>
        </w:rPr>
      </w:pPr>
    </w:p>
    <w:p>
      <w:pPr>
        <w:pStyle w:val="0"/>
        <w:rPr>
          <w:rFonts w:hint="default" w:ascii="ＭＳ 明朝" w:hAnsi="ＭＳ 明朝"/>
          <w:color w:val="auto"/>
          <w:sz w:val="22"/>
        </w:rPr>
      </w:pPr>
      <w:r>
        <w:rPr>
          <w:rFonts w:hint="eastAsia" w:ascii="ＭＳ 明朝" w:hAnsi="ＭＳ 明朝"/>
          <w:color w:val="auto"/>
          <w:sz w:val="22"/>
        </w:rPr>
        <w:t>【</w:t>
      </w:r>
      <w:r>
        <w:rPr>
          <w:rFonts w:hint="eastAsia"/>
          <w:b w:val="1"/>
          <w:color w:val="auto"/>
          <w:sz w:val="22"/>
        </w:rPr>
        <w:t>第１章　</w:t>
      </w:r>
      <w:r>
        <w:rPr>
          <w:rFonts w:hint="eastAsia" w:ascii="ＭＳ 明朝" w:hAnsi="ＭＳ 明朝"/>
          <w:b w:val="1"/>
          <w:color w:val="auto"/>
          <w:sz w:val="22"/>
        </w:rPr>
        <w:t>学校教育の充実に</w:t>
      </w:r>
      <w:r>
        <w:rPr>
          <w:rFonts w:hint="eastAsia"/>
          <w:b w:val="1"/>
          <w:color w:val="auto"/>
          <w:sz w:val="22"/>
        </w:rPr>
        <w:t>関する指標</w:t>
      </w:r>
      <w:r>
        <w:rPr>
          <w:rFonts w:hint="eastAsia" w:ascii="ＭＳ 明朝" w:hAnsi="ＭＳ 明朝"/>
          <w:color w:val="auto"/>
          <w:sz w:val="22"/>
        </w:rPr>
        <w:t>】</w:t>
      </w:r>
    </w:p>
    <w:p>
      <w:pPr>
        <w:pStyle w:val="0"/>
        <w:ind w:firstLine="221" w:firstLineChars="100"/>
        <w:rPr>
          <w:rFonts w:hint="default"/>
          <w:color w:val="auto"/>
          <w:sz w:val="22"/>
        </w:rPr>
      </w:pPr>
      <w:r>
        <w:rPr>
          <w:rFonts w:hint="default" w:ascii="ＭＳ 明朝" w:hAnsi="ＭＳ 明朝"/>
          <w:b w:val="1"/>
          <w:color w:val="auto"/>
          <w:sz w:val="22"/>
        </w:rPr>
        <w:t>➊</w:t>
      </w:r>
      <w:r>
        <w:rPr>
          <w:rFonts w:hint="eastAsia"/>
          <w:b w:val="1"/>
          <w:color w:val="auto"/>
          <w:sz w:val="22"/>
        </w:rPr>
        <w:t>　</w:t>
      </w:r>
      <w:r>
        <w:rPr>
          <w:rFonts w:hint="eastAsia" w:ascii="ＭＳ 明朝" w:hAnsi="ＭＳ 明朝"/>
          <w:b w:val="1"/>
          <w:color w:val="auto"/>
          <w:sz w:val="22"/>
        </w:rPr>
        <w:t>特色ある教育活動の推進</w:t>
      </w:r>
    </w:p>
    <w:p>
      <w:pPr>
        <w:pStyle w:val="0"/>
        <w:ind w:firstLine="221" w:firstLineChars="100"/>
        <w:rPr>
          <w:rFonts w:hint="default"/>
          <w:color w:val="auto"/>
          <w:sz w:val="21"/>
        </w:rPr>
      </w:pPr>
      <w:r>
        <w:rPr>
          <w:rFonts w:hint="default" w:ascii="ＭＳ 明朝" w:hAnsi="ＭＳ 明朝"/>
          <w:b w:val="1"/>
          <w:color w:val="auto"/>
          <w:sz w:val="22"/>
        </w:rPr>
        <w:t>➋</w:t>
      </w:r>
      <w:r>
        <w:rPr>
          <w:rFonts w:hint="eastAsia"/>
          <w:b w:val="1"/>
          <w:color w:val="auto"/>
          <w:sz w:val="22"/>
        </w:rPr>
        <w:t>　教育支援体制の充実</w:t>
      </w:r>
    </w:p>
    <w:p>
      <w:pPr>
        <w:pStyle w:val="0"/>
        <w:ind w:firstLine="221" w:firstLineChars="100"/>
        <w:rPr>
          <w:rFonts w:hint="default" w:ascii="ＭＳ 明朝" w:hAnsi="ＭＳ 明朝"/>
          <w:color w:val="auto"/>
          <w:sz w:val="21"/>
        </w:rPr>
      </w:pPr>
      <w:r>
        <w:rPr>
          <w:rFonts w:hint="default" w:ascii="ＭＳ 明朝" w:hAnsi="ＭＳ 明朝"/>
          <w:b w:val="1"/>
          <w:color w:val="auto"/>
          <w:sz w:val="22"/>
        </w:rPr>
        <w:t>➌</w:t>
      </w:r>
      <w:r>
        <w:rPr>
          <w:rFonts w:hint="eastAsia" w:ascii="ＭＳ 明朝" w:hAnsi="ＭＳ 明朝"/>
          <w:b w:val="1"/>
          <w:color w:val="auto"/>
          <w:sz w:val="22"/>
        </w:rPr>
        <w:t>　</w:t>
      </w:r>
      <w:r>
        <w:rPr>
          <w:rFonts w:hint="eastAsia"/>
          <w:b w:val="1"/>
          <w:color w:val="auto"/>
          <w:sz w:val="22"/>
        </w:rPr>
        <w:t>健康・体力づくりの推進</w:t>
      </w:r>
    </w:p>
    <w:p>
      <w:pPr>
        <w:pStyle w:val="0"/>
        <w:ind w:firstLine="221" w:firstLineChars="100"/>
        <w:rPr>
          <w:rFonts w:hint="default"/>
          <w:color w:val="auto"/>
          <w:sz w:val="22"/>
        </w:rPr>
      </w:pPr>
      <w:r>
        <w:rPr>
          <w:rFonts w:hint="default" w:ascii="ＭＳ 明朝" w:hAnsi="ＭＳ 明朝"/>
          <w:b w:val="1"/>
          <w:color w:val="auto"/>
          <w:sz w:val="22"/>
        </w:rPr>
        <w:t>➍</w:t>
      </w:r>
      <w:r>
        <w:rPr>
          <w:rFonts w:hint="eastAsia" w:ascii="ＭＳ 明朝" w:hAnsi="ＭＳ 明朝"/>
          <w:b w:val="1"/>
          <w:color w:val="auto"/>
          <w:sz w:val="22"/>
        </w:rPr>
        <w:t>　</w:t>
      </w:r>
      <w:r>
        <w:rPr>
          <w:rFonts w:hint="eastAsia"/>
          <w:b w:val="1"/>
          <w:color w:val="auto"/>
          <w:sz w:val="22"/>
        </w:rPr>
        <w:t>学校施設・設備の整備</w:t>
      </w:r>
    </w:p>
    <w:tbl>
      <w:tblPr>
        <w:tblStyle w:val="11"/>
        <w:tblW w:w="8695"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536"/>
        <w:gridCol w:w="1386"/>
        <w:gridCol w:w="1386"/>
        <w:gridCol w:w="1387"/>
      </w:tblGrid>
      <w:tr>
        <w:trPr>
          <w:trHeight w:val="336" w:hRule="atLeast"/>
        </w:trPr>
        <w:tc>
          <w:tcPr>
            <w:tcW w:w="4536" w:type="dxa"/>
            <w:vAlign w:val="center"/>
          </w:tcPr>
          <w:p>
            <w:pPr>
              <w:pStyle w:val="0"/>
              <w:jc w:val="center"/>
              <w:rPr>
                <w:rFonts w:hint="default" w:ascii="ＭＳ 明朝" w:hAnsi="ＭＳ 明朝"/>
                <w:color w:val="auto"/>
                <w:sz w:val="22"/>
              </w:rPr>
            </w:pPr>
            <w:r>
              <w:rPr>
                <w:rFonts w:hint="eastAsia" w:ascii="ＭＳ 明朝" w:hAnsi="ＭＳ 明朝"/>
                <w:color w:val="auto"/>
                <w:sz w:val="22"/>
              </w:rPr>
              <w:t>指標名</w:t>
            </w:r>
          </w:p>
        </w:tc>
        <w:tc>
          <w:tcPr>
            <w:tcW w:w="1386" w:type="dxa"/>
            <w:vAlign w:val="top"/>
          </w:tcPr>
          <w:p>
            <w:pPr>
              <w:pStyle w:val="0"/>
              <w:rPr>
                <w:rFonts w:hint="default" w:ascii="ＭＳ 明朝" w:hAnsi="ＭＳ 明朝"/>
                <w:color w:val="auto"/>
                <w:sz w:val="22"/>
              </w:rPr>
            </w:pPr>
            <w:r>
              <w:rPr>
                <w:rFonts w:hint="eastAsia" w:ascii="ＭＳ 明朝" w:hAnsi="ＭＳ 明朝"/>
                <w:color w:val="auto"/>
                <w:sz w:val="22"/>
              </w:rPr>
              <w:t>基準値</w:t>
            </w:r>
            <w:r>
              <w:rPr>
                <w:rFonts w:hint="eastAsia" w:ascii="ＭＳ 明朝" w:hAnsi="ＭＳ 明朝"/>
                <w:color w:val="auto"/>
                <w:sz w:val="22"/>
              </w:rPr>
              <w:t>(</w:t>
            </w:r>
            <w:r>
              <w:rPr>
                <w:rFonts w:hint="default" w:ascii="ＭＳ 明朝" w:hAnsi="ＭＳ 明朝"/>
                <w:color w:val="auto"/>
                <w:sz w:val="22"/>
              </w:rPr>
              <w:t>R1)</w:t>
            </w:r>
          </w:p>
        </w:tc>
        <w:tc>
          <w:tcPr>
            <w:tcW w:w="1386" w:type="dxa"/>
            <w:vAlign w:val="top"/>
          </w:tcPr>
          <w:p>
            <w:pPr>
              <w:pStyle w:val="0"/>
              <w:rPr>
                <w:rFonts w:hint="default" w:ascii="ＭＳ 明朝" w:hAnsi="ＭＳ 明朝"/>
                <w:color w:val="auto"/>
                <w:sz w:val="22"/>
              </w:rPr>
            </w:pPr>
            <w:r>
              <w:rPr>
                <w:rFonts w:hint="eastAsia" w:ascii="ＭＳ 明朝" w:hAnsi="ＭＳ 明朝"/>
                <w:color w:val="auto"/>
                <w:sz w:val="22"/>
              </w:rPr>
              <w:t>実績値</w:t>
            </w:r>
            <w:r>
              <w:rPr>
                <w:rFonts w:hint="eastAsia" w:ascii="ＭＳ 明朝" w:hAnsi="ＭＳ 明朝"/>
                <w:color w:val="auto"/>
                <w:sz w:val="22"/>
              </w:rPr>
              <w:t>(</w:t>
            </w:r>
            <w:r>
              <w:rPr>
                <w:rFonts w:hint="default" w:ascii="ＭＳ 明朝" w:hAnsi="ＭＳ 明朝"/>
                <w:color w:val="auto"/>
                <w:sz w:val="22"/>
              </w:rPr>
              <w:t>R</w:t>
            </w:r>
            <w:r>
              <w:rPr>
                <w:rFonts w:hint="eastAsia" w:ascii="ＭＳ 明朝" w:hAnsi="ＭＳ 明朝"/>
                <w:color w:val="auto"/>
                <w:sz w:val="22"/>
              </w:rPr>
              <w:t>7</w:t>
            </w:r>
            <w:r>
              <w:rPr>
                <w:rFonts w:hint="default" w:ascii="ＭＳ 明朝" w:hAnsi="ＭＳ 明朝"/>
                <w:color w:val="auto"/>
                <w:sz w:val="22"/>
              </w:rPr>
              <w:t>)</w:t>
            </w:r>
          </w:p>
        </w:tc>
        <w:tc>
          <w:tcPr>
            <w:tcW w:w="1387" w:type="dxa"/>
            <w:vAlign w:val="top"/>
          </w:tcPr>
          <w:p>
            <w:pPr>
              <w:pStyle w:val="0"/>
              <w:rPr>
                <w:rFonts w:hint="default" w:ascii="ＭＳ 明朝" w:hAnsi="ＭＳ 明朝"/>
                <w:color w:val="auto"/>
                <w:sz w:val="22"/>
              </w:rPr>
            </w:pPr>
            <w:r>
              <w:rPr>
                <w:rFonts w:hint="eastAsia" w:ascii="ＭＳ 明朝" w:hAnsi="ＭＳ 明朝"/>
                <w:color w:val="auto"/>
                <w:sz w:val="22"/>
              </w:rPr>
              <w:t>目標値</w:t>
            </w:r>
            <w:r>
              <w:rPr>
                <w:rFonts w:hint="eastAsia" w:ascii="ＭＳ 明朝" w:hAnsi="ＭＳ 明朝"/>
                <w:color w:val="auto"/>
                <w:sz w:val="22"/>
              </w:rPr>
              <w:t>(</w:t>
            </w:r>
            <w:r>
              <w:rPr>
                <w:rFonts w:hint="default" w:ascii="ＭＳ 明朝" w:hAnsi="ＭＳ 明朝"/>
                <w:color w:val="auto"/>
                <w:sz w:val="22"/>
              </w:rPr>
              <w:t>R7)</w:t>
            </w:r>
          </w:p>
        </w:tc>
      </w:tr>
      <w:tr>
        <w:trPr>
          <w:trHeight w:val="348" w:hRule="atLeast"/>
        </w:trPr>
        <w:tc>
          <w:tcPr>
            <w:tcW w:w="4536" w:type="dxa"/>
            <w:vAlign w:val="top"/>
          </w:tcPr>
          <w:p>
            <w:pPr>
              <w:pStyle w:val="0"/>
              <w:rPr>
                <w:rFonts w:hint="default" w:ascii="ＭＳ 明朝" w:hAnsi="ＭＳ 明朝"/>
                <w:color w:val="auto"/>
                <w:sz w:val="22"/>
              </w:rPr>
            </w:pPr>
            <w:r>
              <w:rPr>
                <w:rFonts w:hint="eastAsia" w:ascii="ＭＳ 明朝" w:hAnsi="ＭＳ 明朝"/>
                <w:color w:val="auto"/>
                <w:sz w:val="22"/>
              </w:rPr>
              <w:t>栄養教諭による訪問指導</w:t>
            </w:r>
          </w:p>
        </w:tc>
        <w:tc>
          <w:tcPr>
            <w:tcW w:w="1386" w:type="dxa"/>
            <w:vAlign w:val="center"/>
          </w:tcPr>
          <w:p>
            <w:pPr>
              <w:pStyle w:val="0"/>
              <w:jc w:val="right"/>
              <w:rPr>
                <w:rFonts w:hint="default" w:ascii="ＭＳ 明朝" w:hAnsi="ＭＳ 明朝"/>
                <w:color w:val="auto"/>
                <w:sz w:val="22"/>
              </w:rPr>
            </w:pPr>
            <w:r>
              <w:rPr>
                <w:rFonts w:hint="eastAsia" w:ascii="ＭＳ 明朝" w:hAnsi="ＭＳ 明朝"/>
                <w:color w:val="auto"/>
                <w:sz w:val="22"/>
              </w:rPr>
              <w:t>154</w:t>
            </w:r>
            <w:r>
              <w:rPr>
                <w:rFonts w:hint="eastAsia" w:ascii="ＭＳ 明朝" w:hAnsi="ＭＳ 明朝"/>
                <w:color w:val="auto"/>
                <w:sz w:val="22"/>
              </w:rPr>
              <w:t>回</w:t>
            </w:r>
          </w:p>
        </w:tc>
        <w:tc>
          <w:tcPr>
            <w:tcW w:w="1386" w:type="dxa"/>
            <w:vAlign w:val="center"/>
          </w:tcPr>
          <w:p>
            <w:pPr>
              <w:pStyle w:val="0"/>
              <w:wordWrap w:val="0"/>
              <w:ind w:rightChars="0"/>
              <w:jc w:val="right"/>
              <w:rPr>
                <w:rFonts w:hint="default" w:ascii="ＭＳ 明朝" w:hAnsi="ＭＳ 明朝"/>
                <w:color w:val="auto"/>
                <w:sz w:val="22"/>
              </w:rPr>
            </w:pPr>
            <w:r>
              <w:rPr>
                <w:rFonts w:hint="eastAsia" w:ascii="ＭＳ 明朝" w:hAnsi="ＭＳ 明朝"/>
                <w:color w:val="auto"/>
                <w:sz w:val="22"/>
              </w:rPr>
              <w:t>234</w:t>
            </w:r>
            <w:r>
              <w:rPr>
                <w:rFonts w:hint="eastAsia" w:ascii="ＭＳ 明朝" w:hAnsi="ＭＳ 明朝"/>
                <w:color w:val="auto"/>
                <w:sz w:val="22"/>
              </w:rPr>
              <w:t>回</w:t>
            </w:r>
          </w:p>
        </w:tc>
        <w:tc>
          <w:tcPr>
            <w:tcW w:w="1387" w:type="dxa"/>
            <w:vAlign w:val="center"/>
          </w:tcPr>
          <w:p>
            <w:pPr>
              <w:pStyle w:val="0"/>
              <w:ind w:rightChars="0"/>
              <w:jc w:val="right"/>
              <w:rPr>
                <w:rFonts w:hint="default" w:ascii="ＭＳ 明朝" w:hAnsi="ＭＳ 明朝"/>
                <w:color w:val="auto"/>
                <w:sz w:val="22"/>
              </w:rPr>
            </w:pPr>
            <w:r>
              <w:rPr>
                <w:rFonts w:hint="eastAsia" w:ascii="ＭＳ 明朝" w:hAnsi="ＭＳ 明朝"/>
                <w:color w:val="auto"/>
                <w:sz w:val="22"/>
              </w:rPr>
              <w:t>　</w:t>
            </w:r>
            <w:r>
              <w:rPr>
                <w:rFonts w:hint="eastAsia" w:ascii="ＭＳ 明朝" w:hAnsi="ＭＳ 明朝"/>
                <w:color w:val="auto"/>
                <w:sz w:val="22"/>
              </w:rPr>
              <w:t>170</w:t>
            </w:r>
            <w:r>
              <w:rPr>
                <w:rFonts w:hint="eastAsia" w:ascii="ＭＳ 明朝" w:hAnsi="ＭＳ 明朝"/>
                <w:color w:val="auto"/>
                <w:sz w:val="22"/>
              </w:rPr>
              <w:t>回</w:t>
            </w:r>
          </w:p>
        </w:tc>
      </w:tr>
      <w:tr>
        <w:trPr>
          <w:trHeight w:val="348" w:hRule="atLeast"/>
        </w:trPr>
        <w:tc>
          <w:tcPr>
            <w:tcW w:w="453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１校当たりの学校運営協議会の開催回数</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5</w:t>
            </w:r>
            <w:r>
              <w:rPr>
                <w:rFonts w:hint="eastAsia" w:ascii="ＭＳ 明朝" w:hAnsi="ＭＳ 明朝"/>
                <w:color w:val="auto"/>
                <w:sz w:val="22"/>
                <w:highlight w:val="none"/>
              </w:rPr>
              <w:t>回</w:t>
            </w:r>
          </w:p>
        </w:tc>
        <w:tc>
          <w:tcPr>
            <w:tcW w:w="1386" w:type="dxa"/>
            <w:vAlign w:val="center"/>
          </w:tcPr>
          <w:p>
            <w:pPr>
              <w:pStyle w:val="0"/>
              <w:wordWrap w:val="0"/>
              <w:jc w:val="right"/>
              <w:rPr>
                <w:rFonts w:hint="default" w:ascii="ＭＳ 明朝" w:hAnsi="ＭＳ 明朝"/>
                <w:color w:val="auto"/>
                <w:sz w:val="22"/>
                <w:highlight w:val="none"/>
              </w:rPr>
            </w:pPr>
            <w:r>
              <w:rPr>
                <w:rFonts w:hint="eastAsia" w:ascii="ＭＳ 明朝" w:hAnsi="ＭＳ 明朝"/>
                <w:color w:val="auto"/>
                <w:sz w:val="22"/>
                <w:highlight w:val="none"/>
              </w:rPr>
              <w:t>4.4</w:t>
            </w:r>
            <w:r>
              <w:rPr>
                <w:rFonts w:hint="eastAsia" w:ascii="ＭＳ 明朝" w:hAnsi="ＭＳ 明朝"/>
                <w:color w:val="auto"/>
                <w:sz w:val="22"/>
                <w:highlight w:val="none"/>
              </w:rPr>
              <w:t>回</w:t>
            </w:r>
          </w:p>
        </w:tc>
        <w:tc>
          <w:tcPr>
            <w:tcW w:w="1387"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5</w:t>
            </w:r>
            <w:r>
              <w:rPr>
                <w:rFonts w:hint="eastAsia" w:ascii="ＭＳ 明朝" w:hAnsi="ＭＳ 明朝"/>
                <w:color w:val="auto"/>
                <w:sz w:val="22"/>
                <w:highlight w:val="none"/>
              </w:rPr>
              <w:t>回</w:t>
            </w:r>
          </w:p>
        </w:tc>
      </w:tr>
      <w:tr>
        <w:trPr>
          <w:trHeight w:val="510" w:hRule="atLeast"/>
        </w:trPr>
        <w:tc>
          <w:tcPr>
            <w:tcW w:w="453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ＩＣＴ機器の整備状況（タブレット端末等）</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18.0</w:t>
            </w:r>
            <w:r>
              <w:rPr>
                <w:rFonts w:hint="eastAsia" w:ascii="ＭＳ 明朝" w:hAnsi="ＭＳ 明朝"/>
                <w:color w:val="auto"/>
                <w:sz w:val="22"/>
                <w:highlight w:val="none"/>
              </w:rPr>
              <w:t>％</w:t>
            </w:r>
          </w:p>
        </w:tc>
        <w:tc>
          <w:tcPr>
            <w:tcW w:w="1386" w:type="dxa"/>
            <w:vAlign w:val="center"/>
          </w:tcPr>
          <w:p>
            <w:pPr>
              <w:pStyle w:val="0"/>
              <w:wordWrap w:val="0"/>
              <w:jc w:val="right"/>
              <w:rPr>
                <w:rFonts w:hint="default" w:ascii="ＭＳ 明朝" w:hAnsi="ＭＳ 明朝"/>
                <w:color w:val="auto"/>
                <w:sz w:val="22"/>
                <w:highlight w:val="none"/>
              </w:rPr>
            </w:pPr>
            <w:r>
              <w:rPr>
                <w:rFonts w:hint="eastAsia" w:ascii="ＭＳ 明朝" w:hAnsi="ＭＳ 明朝"/>
                <w:color w:val="auto"/>
                <w:sz w:val="22"/>
                <w:highlight w:val="none"/>
              </w:rPr>
              <w:t>100</w:t>
            </w:r>
            <w:r>
              <w:rPr>
                <w:rFonts w:hint="eastAsia" w:ascii="ＭＳ 明朝" w:hAnsi="ＭＳ 明朝"/>
                <w:color w:val="auto"/>
                <w:sz w:val="22"/>
                <w:highlight w:val="none"/>
              </w:rPr>
              <w:t>％</w:t>
            </w:r>
          </w:p>
        </w:tc>
        <w:tc>
          <w:tcPr>
            <w:tcW w:w="1387"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100%</w:t>
            </w:r>
          </w:p>
        </w:tc>
      </w:tr>
      <w:tr>
        <w:trPr>
          <w:trHeight w:val="348" w:hRule="atLeast"/>
        </w:trPr>
        <w:tc>
          <w:tcPr>
            <w:tcW w:w="453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読書に親しむ児童生徒の割合</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75</w:t>
            </w:r>
            <w:r>
              <w:rPr>
                <w:rFonts w:hint="eastAsia" w:ascii="ＭＳ 明朝" w:hAnsi="ＭＳ 明朝"/>
                <w:color w:val="auto"/>
                <w:sz w:val="22"/>
                <w:highlight w:val="none"/>
              </w:rPr>
              <w:t>％</w:t>
            </w:r>
          </w:p>
        </w:tc>
        <w:tc>
          <w:tcPr>
            <w:tcW w:w="1386" w:type="dxa"/>
            <w:vAlign w:val="center"/>
          </w:tcPr>
          <w:p>
            <w:pPr>
              <w:pStyle w:val="0"/>
              <w:wordWrap w:val="0"/>
              <w:jc w:val="right"/>
              <w:rPr>
                <w:rFonts w:hint="default" w:ascii="ＭＳ 明朝" w:hAnsi="ＭＳ 明朝"/>
                <w:color w:val="auto"/>
                <w:sz w:val="22"/>
                <w:highlight w:val="none"/>
              </w:rPr>
            </w:pPr>
            <w:r>
              <w:rPr>
                <w:rFonts w:hint="eastAsia" w:ascii="ＭＳ 明朝" w:hAnsi="ＭＳ 明朝"/>
                <w:color w:val="auto"/>
                <w:sz w:val="22"/>
                <w:highlight w:val="none"/>
              </w:rPr>
              <w:t>73</w:t>
            </w:r>
            <w:r>
              <w:rPr>
                <w:rFonts w:hint="eastAsia" w:ascii="ＭＳ 明朝" w:hAnsi="ＭＳ 明朝"/>
                <w:color w:val="auto"/>
                <w:sz w:val="22"/>
                <w:highlight w:val="none"/>
              </w:rPr>
              <w:t>％</w:t>
            </w:r>
          </w:p>
        </w:tc>
        <w:tc>
          <w:tcPr>
            <w:tcW w:w="1387"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80</w:t>
            </w:r>
            <w:r>
              <w:rPr>
                <w:rFonts w:hint="eastAsia" w:ascii="ＭＳ 明朝" w:hAnsi="ＭＳ 明朝"/>
                <w:color w:val="auto"/>
                <w:sz w:val="22"/>
                <w:highlight w:val="none"/>
              </w:rPr>
              <w:t>％</w:t>
            </w:r>
          </w:p>
        </w:tc>
      </w:tr>
      <w:tr>
        <w:trPr>
          <w:trHeight w:val="348" w:hRule="atLeast"/>
        </w:trPr>
        <w:tc>
          <w:tcPr>
            <w:tcW w:w="453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中学校卒業までに英検</w:t>
            </w:r>
            <w:r>
              <w:rPr>
                <w:rFonts w:hint="eastAsia" w:ascii="ＭＳ 明朝" w:hAnsi="ＭＳ 明朝"/>
                <w:color w:val="auto"/>
                <w:sz w:val="22"/>
                <w:highlight w:val="none"/>
              </w:rPr>
              <w:t>3</w:t>
            </w:r>
            <w:r>
              <w:rPr>
                <w:rFonts w:hint="eastAsia" w:ascii="ＭＳ 明朝" w:hAnsi="ＭＳ 明朝"/>
                <w:color w:val="auto"/>
                <w:sz w:val="22"/>
                <w:highlight w:val="none"/>
              </w:rPr>
              <w:t>級程度以上を取得した生徒の割合</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32</w:t>
            </w:r>
            <w:r>
              <w:rPr>
                <w:rFonts w:hint="eastAsia" w:ascii="ＭＳ 明朝" w:hAnsi="ＭＳ 明朝"/>
                <w:color w:val="auto"/>
                <w:sz w:val="22"/>
                <w:highlight w:val="none"/>
              </w:rPr>
              <w:t>％</w:t>
            </w:r>
          </w:p>
        </w:tc>
        <w:tc>
          <w:tcPr>
            <w:tcW w:w="1386" w:type="dxa"/>
            <w:vAlign w:val="center"/>
          </w:tcPr>
          <w:p>
            <w:pPr>
              <w:pStyle w:val="0"/>
              <w:wordWrap w:val="0"/>
              <w:jc w:val="right"/>
              <w:rPr>
                <w:rFonts w:hint="default" w:ascii="ＭＳ 明朝" w:hAnsi="ＭＳ 明朝"/>
                <w:color w:val="auto"/>
                <w:sz w:val="22"/>
                <w:highlight w:val="none"/>
              </w:rPr>
            </w:pPr>
            <w:r>
              <w:rPr>
                <w:rFonts w:hint="eastAsia" w:ascii="ＭＳ 明朝" w:hAnsi="ＭＳ 明朝"/>
                <w:color w:val="auto"/>
                <w:sz w:val="22"/>
                <w:highlight w:val="none"/>
              </w:rPr>
              <w:t>45.9</w:t>
            </w:r>
            <w:r>
              <w:rPr>
                <w:rFonts w:hint="eastAsia" w:ascii="ＭＳ 明朝" w:hAnsi="ＭＳ 明朝"/>
                <w:color w:val="auto"/>
                <w:sz w:val="22"/>
                <w:highlight w:val="none"/>
              </w:rPr>
              <w:t>％</w:t>
            </w:r>
          </w:p>
        </w:tc>
        <w:tc>
          <w:tcPr>
            <w:tcW w:w="1387"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40</w:t>
            </w:r>
            <w:r>
              <w:rPr>
                <w:rFonts w:hint="eastAsia" w:ascii="ＭＳ 明朝" w:hAnsi="ＭＳ 明朝"/>
                <w:color w:val="auto"/>
                <w:sz w:val="22"/>
                <w:highlight w:val="none"/>
              </w:rPr>
              <w:t>％</w:t>
            </w:r>
          </w:p>
        </w:tc>
      </w:tr>
      <w:tr>
        <w:trPr>
          <w:trHeight w:val="348" w:hRule="atLeast"/>
        </w:trPr>
        <w:tc>
          <w:tcPr>
            <w:tcW w:w="453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中学生の海外派遣事業参加者数</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22</w:t>
            </w:r>
            <w:r>
              <w:rPr>
                <w:rFonts w:hint="eastAsia" w:ascii="ＭＳ 明朝" w:hAnsi="ＭＳ 明朝"/>
                <w:color w:val="auto"/>
                <w:sz w:val="22"/>
                <w:highlight w:val="none"/>
              </w:rPr>
              <w:t>人</w:t>
            </w:r>
          </w:p>
        </w:tc>
        <w:tc>
          <w:tcPr>
            <w:tcW w:w="1386" w:type="dxa"/>
            <w:vAlign w:val="center"/>
          </w:tcPr>
          <w:p>
            <w:pPr>
              <w:pStyle w:val="0"/>
              <w:wordWrap w:val="0"/>
              <w:jc w:val="right"/>
              <w:rPr>
                <w:rFonts w:hint="default" w:ascii="ＭＳ 明朝" w:hAnsi="ＭＳ 明朝"/>
                <w:color w:val="auto"/>
                <w:sz w:val="22"/>
                <w:highlight w:val="none"/>
              </w:rPr>
            </w:pPr>
            <w:r>
              <w:rPr>
                <w:rFonts w:hint="eastAsia" w:ascii="ＭＳ 明朝" w:hAnsi="ＭＳ 明朝"/>
                <w:color w:val="auto"/>
                <w:sz w:val="22"/>
                <w:highlight w:val="none"/>
              </w:rPr>
              <w:t>20</w:t>
            </w:r>
            <w:r>
              <w:rPr>
                <w:rFonts w:hint="eastAsia" w:ascii="ＭＳ 明朝" w:hAnsi="ＭＳ 明朝"/>
                <w:color w:val="auto"/>
                <w:sz w:val="22"/>
                <w:highlight w:val="none"/>
              </w:rPr>
              <w:t>人</w:t>
            </w:r>
          </w:p>
        </w:tc>
        <w:tc>
          <w:tcPr>
            <w:tcW w:w="1387"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22</w:t>
            </w:r>
            <w:r>
              <w:rPr>
                <w:rFonts w:hint="eastAsia" w:ascii="ＭＳ 明朝" w:hAnsi="ＭＳ 明朝"/>
                <w:color w:val="auto"/>
                <w:sz w:val="22"/>
                <w:highlight w:val="none"/>
              </w:rPr>
              <w:t>人</w:t>
            </w:r>
          </w:p>
        </w:tc>
      </w:tr>
      <w:tr>
        <w:trPr>
          <w:trHeight w:val="348" w:hRule="atLeast"/>
        </w:trPr>
        <w:tc>
          <w:tcPr>
            <w:tcW w:w="453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地域の行事に進んで参加する子どもの割合</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81</w:t>
            </w:r>
            <w:r>
              <w:rPr>
                <w:rFonts w:hint="eastAsia" w:ascii="ＭＳ 明朝" w:hAnsi="ＭＳ 明朝"/>
                <w:color w:val="auto"/>
                <w:sz w:val="22"/>
                <w:highlight w:val="none"/>
              </w:rPr>
              <w:t>％</w:t>
            </w:r>
          </w:p>
        </w:tc>
        <w:tc>
          <w:tcPr>
            <w:tcW w:w="1386" w:type="dxa"/>
            <w:vAlign w:val="center"/>
          </w:tcPr>
          <w:p>
            <w:pPr>
              <w:pStyle w:val="0"/>
              <w:wordWrap w:val="0"/>
              <w:jc w:val="right"/>
              <w:rPr>
                <w:rFonts w:hint="default" w:ascii="ＭＳ 明朝" w:hAnsi="ＭＳ 明朝"/>
                <w:color w:val="auto"/>
                <w:sz w:val="22"/>
                <w:highlight w:val="none"/>
              </w:rPr>
            </w:pPr>
            <w:r>
              <w:rPr>
                <w:rFonts w:hint="eastAsia" w:ascii="ＭＳ 明朝" w:hAnsi="ＭＳ 明朝"/>
                <w:color w:val="auto"/>
                <w:sz w:val="22"/>
                <w:highlight w:val="none"/>
              </w:rPr>
              <w:t>75</w:t>
            </w:r>
            <w:r>
              <w:rPr>
                <w:rFonts w:hint="eastAsia" w:ascii="ＭＳ 明朝" w:hAnsi="ＭＳ 明朝"/>
                <w:color w:val="auto"/>
                <w:sz w:val="22"/>
                <w:highlight w:val="none"/>
              </w:rPr>
              <w:t>％</w:t>
            </w:r>
          </w:p>
        </w:tc>
        <w:tc>
          <w:tcPr>
            <w:tcW w:w="1387"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85</w:t>
            </w:r>
            <w:r>
              <w:rPr>
                <w:rFonts w:hint="eastAsia" w:ascii="ＭＳ 明朝" w:hAnsi="ＭＳ 明朝"/>
                <w:color w:val="auto"/>
                <w:sz w:val="22"/>
                <w:highlight w:val="none"/>
              </w:rPr>
              <w:t>％</w:t>
            </w:r>
          </w:p>
        </w:tc>
      </w:tr>
    </w:tbl>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r>
        <w:rPr>
          <w:rFonts w:hint="eastAsia"/>
          <w:b w:val="1"/>
          <w:color w:val="auto"/>
          <w:highlight w:val="none"/>
        </w:rPr>
        <w:t>第２章　生涯学習の充実</w:t>
      </w:r>
    </w:p>
    <w:p>
      <w:pPr>
        <w:pStyle w:val="0"/>
        <w:rPr>
          <w:rFonts w:hint="default"/>
          <w:color w:val="auto"/>
          <w:highlight w:val="none"/>
        </w:rPr>
      </w:pPr>
      <w:r>
        <w:rPr>
          <w:rFonts w:hint="default" w:ascii="ＭＳ 明朝" w:hAnsi="ＭＳ 明朝"/>
          <w:b w:val="1"/>
          <w:color w:val="auto"/>
          <w:highlight w:val="none"/>
        </w:rPr>
        <w:t>➊</w:t>
      </w:r>
      <w:r>
        <w:rPr>
          <w:rFonts w:hint="eastAsia"/>
          <w:b w:val="1"/>
          <w:color w:val="auto"/>
          <w:highlight w:val="none"/>
        </w:rPr>
        <w:t>　生涯学習の積極的推進</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【事務・事業の概要】</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１　目的及び効果</w:t>
      </w:r>
    </w:p>
    <w:p>
      <w:pPr>
        <w:pStyle w:val="23"/>
        <w:ind w:left="240" w:firstLine="220"/>
        <w:rPr>
          <w:rFonts w:hint="default"/>
          <w:color w:val="auto"/>
          <w:sz w:val="22"/>
          <w:highlight w:val="none"/>
        </w:rPr>
      </w:pPr>
      <w:r>
        <w:rPr>
          <w:rFonts w:hint="eastAsia"/>
          <w:color w:val="auto"/>
          <w:sz w:val="22"/>
          <w:highlight w:val="none"/>
        </w:rPr>
        <w:t>町民の生涯学習活動の活性化を図るためには、町民が主体的に参加できる環境の整備が必要となる。このため、子どもから高齢者までの幅広い年代を対象とした学習のきっかけづくりや機会と情報を提供するとともに、学習の成果を活かす場を提供する。</w:t>
      </w:r>
    </w:p>
    <w:p>
      <w:pPr>
        <w:pStyle w:val="0"/>
        <w:ind w:left="180" w:leftChars="75" w:firstLine="220" w:firstLineChars="100"/>
        <w:rPr>
          <w:rFonts w:hint="default" w:ascii="ＭＳ 明朝" w:hAnsi="ＭＳ 明朝"/>
          <w:color w:val="auto"/>
          <w:sz w:val="22"/>
          <w:highlight w:val="none"/>
        </w:rPr>
      </w:pPr>
      <w:r>
        <w:rPr>
          <w:rFonts w:hint="eastAsia" w:ascii="ＭＳ 明朝" w:hAnsi="ＭＳ 明朝"/>
          <w:color w:val="auto"/>
          <w:sz w:val="22"/>
          <w:highlight w:val="none"/>
        </w:rPr>
        <w:t>また、町民のニーズに合った講座を行うとともに、社会教育関係団体、教育機関等との連携を視野に入れ、地域づくり型生涯学習を支援し、ともに考え、ともに行動する“協働のまちづくり”を地域との連携により推進する。</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２　事業主体</w:t>
      </w:r>
    </w:p>
    <w:p>
      <w:pPr>
        <w:pStyle w:val="0"/>
        <w:rPr>
          <w:rFonts w:hint="default" w:ascii="ＭＳ 明朝" w:hAnsi="ＭＳ 明朝"/>
          <w:color w:val="auto"/>
          <w:sz w:val="22"/>
          <w:highlight w:val="none"/>
        </w:rPr>
      </w:pPr>
      <w:r>
        <w:rPr>
          <w:rFonts w:hint="eastAsia" w:ascii="ＭＳ 明朝" w:hAnsi="ＭＳ 明朝"/>
          <w:color w:val="auto"/>
          <w:sz w:val="22"/>
          <w:highlight w:val="none"/>
        </w:rPr>
        <w:t>　　生涯学習課</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３　事業内容及び状況</w:t>
      </w:r>
    </w:p>
    <w:p>
      <w:pPr>
        <w:pStyle w:val="18"/>
        <w:ind w:left="220" w:leftChars="0" w:hanging="220" w:hangingChars="100"/>
        <w:rPr>
          <w:rFonts w:hint="default"/>
          <w:color w:val="auto"/>
          <w:highlight w:val="none"/>
        </w:rPr>
      </w:pPr>
      <w:r>
        <w:rPr>
          <w:rFonts w:hint="eastAsia"/>
          <w:color w:val="auto"/>
          <w:highlight w:val="none"/>
        </w:rPr>
        <w:t>　　親子関係や家族関係などをより豊かなものにしていくために、幼児を持つ保護者を対象に、親学習出前講座を１２回実施し、６７４名が参加した。</w:t>
      </w:r>
    </w:p>
    <w:p>
      <w:pPr>
        <w:pStyle w:val="18"/>
        <w:ind w:left="220" w:leftChars="0" w:firstLine="220" w:firstLineChars="0"/>
        <w:rPr>
          <w:rFonts w:hint="default"/>
          <w:color w:val="auto"/>
          <w:highlight w:val="none"/>
        </w:rPr>
      </w:pPr>
      <w:r>
        <w:rPr>
          <w:rFonts w:hint="eastAsia"/>
          <w:color w:val="auto"/>
          <w:highlight w:val="none"/>
        </w:rPr>
        <w:t>住民参画による活力ある地域づくりに向けたリーダー育成を図るため「親学習プログラム指導者研修」や「家庭教育オピニオンリーダー養成研修」、ＰＴＡ役員を対象とした「指導者養成講座」、学校支援コーディネーターを対象とした｢養成事業｣への参加の呼びかけを行った。また、地域で子どもを見守り育てる｢放課後子ども教室｣や学習支援を行う「地域未来塾」の運営等を地域住民へ依頼することにより、協働のまちづくりの推進を図った。</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【決算額】</w:t>
      </w:r>
    </w:p>
    <w:p>
      <w:pPr>
        <w:pStyle w:val="0"/>
        <w:ind w:firstLine="440" w:firstLineChars="200"/>
        <w:rPr>
          <w:rFonts w:hint="default" w:ascii="ＭＳ 明朝" w:hAnsi="ＭＳ 明朝"/>
          <w:color w:val="auto"/>
          <w:sz w:val="22"/>
          <w:highlight w:val="none"/>
        </w:rPr>
      </w:pPr>
      <w:r>
        <w:rPr>
          <w:rFonts w:hint="eastAsia" w:ascii="ＭＳ 明朝" w:hAnsi="ＭＳ 明朝"/>
          <w:color w:val="auto"/>
          <w:sz w:val="22"/>
          <w:highlight w:val="none"/>
        </w:rPr>
        <w:t>第１０款　教育費　第４項　社会教育費　１目　社会教育総務費</w:t>
      </w:r>
    </w:p>
    <w:p>
      <w:pPr>
        <w:pStyle w:val="0"/>
        <w:ind w:firstLine="660" w:firstLineChars="300"/>
        <w:rPr>
          <w:rFonts w:hint="default" w:ascii="ＭＳ 明朝" w:hAnsi="ＭＳ 明朝"/>
          <w:color w:val="auto"/>
          <w:sz w:val="22"/>
          <w:highlight w:val="none"/>
        </w:rPr>
      </w:pPr>
      <w:r>
        <w:rPr>
          <w:rFonts w:hint="eastAsia" w:ascii="ＭＳ 明朝" w:hAnsi="ＭＳ 明朝"/>
          <w:color w:val="auto"/>
          <w:sz w:val="22"/>
          <w:highlight w:val="none"/>
        </w:rPr>
        <w:t>地域子ども教室推進事業</w:t>
      </w:r>
      <w:r>
        <w:rPr>
          <w:rFonts w:hint="eastAsia" w:ascii="ＭＳ 明朝" w:hAnsi="ＭＳ 明朝"/>
          <w:color w:val="auto"/>
          <w:sz w:val="22"/>
        </w:rPr>
        <w:t>　１０</w:t>
      </w:r>
      <w:r>
        <w:rPr>
          <w:rFonts w:hint="eastAsia" w:ascii="ＭＳ 明朝" w:hAnsi="ＭＳ 明朝"/>
          <w:color w:val="auto"/>
          <w:sz w:val="22"/>
        </w:rPr>
        <w:t>,</w:t>
      </w:r>
      <w:r>
        <w:rPr>
          <w:rFonts w:hint="eastAsia" w:ascii="ＭＳ 明朝" w:hAnsi="ＭＳ 明朝"/>
          <w:color w:val="auto"/>
          <w:sz w:val="22"/>
        </w:rPr>
        <w:t>４４４</w:t>
      </w:r>
      <w:r>
        <w:rPr>
          <w:rFonts w:hint="eastAsia" w:ascii="ＭＳ 明朝" w:hAnsi="ＭＳ 明朝"/>
          <w:color w:val="auto"/>
          <w:sz w:val="22"/>
          <w:highlight w:val="none"/>
        </w:rPr>
        <w:t>千円</w:t>
      </w:r>
    </w:p>
    <w:p>
      <w:pPr>
        <w:pStyle w:val="0"/>
        <w:rPr>
          <w:rFonts w:hint="default" w:ascii="ＭＳ 明朝" w:hAnsi="ＭＳ 明朝"/>
          <w:color w:val="auto"/>
          <w:sz w:val="22"/>
          <w:highlight w:val="none"/>
        </w:rPr>
      </w:pPr>
      <w:r>
        <w:rPr>
          <w:rFonts w:hint="eastAsia" w:ascii="ＭＳ 明朝" w:hAnsi="ＭＳ 明朝"/>
          <w:b w:val="1"/>
          <w:color w:val="auto"/>
          <w:sz w:val="22"/>
          <w:highlight w:val="none"/>
        </w:rPr>
        <w:t>【事業評価（自己評価）】</w:t>
      </w:r>
    </w:p>
    <w:p>
      <w:pPr>
        <w:pStyle w:val="0"/>
        <w:ind w:left="220" w:hanging="220" w:hangingChars="100"/>
        <w:rPr>
          <w:rFonts w:hint="default" w:ascii="ＭＳ 明朝" w:hAnsi="ＭＳ 明朝"/>
          <w:color w:val="auto"/>
          <w:sz w:val="22"/>
          <w:highlight w:val="none"/>
        </w:rPr>
      </w:pPr>
      <w:r>
        <w:rPr>
          <w:rFonts w:hint="eastAsia" w:ascii="ＭＳ 明朝" w:hAnsi="ＭＳ 明朝"/>
          <w:color w:val="auto"/>
          <w:sz w:val="22"/>
          <w:highlight w:val="none"/>
        </w:rPr>
        <w:t>　　</w:t>
      </w:r>
      <w:r>
        <w:rPr>
          <w:rFonts w:hint="eastAsia"/>
          <w:color w:val="auto"/>
          <w:sz w:val="22"/>
          <w:highlight w:val="none"/>
        </w:rPr>
        <w:t>地域づくりに向けたリーダー育成を図るための</w:t>
      </w:r>
      <w:r>
        <w:rPr>
          <w:rFonts w:hint="eastAsia" w:ascii="ＭＳ 明朝" w:hAnsi="ＭＳ 明朝"/>
          <w:color w:val="auto"/>
          <w:sz w:val="22"/>
          <w:highlight w:val="none"/>
        </w:rPr>
        <w:t>研修への参加者は、地域学校協働活動推進員養成研修（２名）、ＰＴＡ</w:t>
      </w:r>
      <w:r>
        <w:rPr>
          <w:rFonts w:hint="eastAsia"/>
          <w:color w:val="auto"/>
          <w:sz w:val="22"/>
          <w:highlight w:val="none"/>
        </w:rPr>
        <w:t>指導者研修（１２名）</w:t>
      </w:r>
      <w:r>
        <w:rPr>
          <w:rFonts w:hint="eastAsia" w:ascii="ＭＳ 明朝" w:hAnsi="ＭＳ 明朝"/>
          <w:color w:val="auto"/>
          <w:sz w:val="22"/>
          <w:highlight w:val="none"/>
        </w:rPr>
        <w:t>が参加しており、更なる参加者の拡大を進めていきたい。</w:t>
      </w:r>
    </w:p>
    <w:p>
      <w:pPr>
        <w:pStyle w:val="0"/>
        <w:ind w:left="220" w:hanging="220" w:hangingChars="100"/>
        <w:rPr>
          <w:rFonts w:hint="default"/>
          <w:color w:val="auto"/>
          <w:sz w:val="22"/>
          <w:highlight w:val="none"/>
        </w:rPr>
      </w:pPr>
      <w:r>
        <w:rPr>
          <w:rFonts w:hint="eastAsia" w:ascii="ＭＳ 明朝" w:hAnsi="ＭＳ 明朝"/>
          <w:color w:val="auto"/>
          <w:sz w:val="22"/>
          <w:highlight w:val="none"/>
        </w:rPr>
        <w:t>　　</w:t>
      </w:r>
      <w:r>
        <w:rPr>
          <w:rFonts w:hint="eastAsia" w:ascii="ＭＳ 明朝" w:hAnsi="ＭＳ 明朝"/>
          <w:color w:val="auto"/>
          <w:sz w:val="22"/>
        </w:rPr>
        <w:t>放課後子ども教室では、地域の人材を指導員として配置することで地域の課題を地域住民が解決する等の意識の向上に繋げるとともに、子どもの豊かな体験活動の機会を作ることにより、安全・安心な子どもたちの居場所の確保することができた。</w:t>
      </w:r>
    </w:p>
    <w:p>
      <w:pPr>
        <w:pStyle w:val="0"/>
        <w:ind w:left="220" w:hanging="220" w:hangingChars="100"/>
        <w:rPr>
          <w:rFonts w:hint="default"/>
          <w:color w:val="auto"/>
          <w:sz w:val="22"/>
          <w:highlight w:val="none"/>
        </w:rPr>
      </w:pPr>
      <w:r>
        <w:rPr>
          <w:rFonts w:hint="eastAsia"/>
          <w:color w:val="auto"/>
          <w:sz w:val="22"/>
          <w:highlight w:val="none"/>
        </w:rPr>
        <w:t>　　地域未来塾は、学校及び学校支援コーディネーターと連携のもと、長期休暇や放課後に町内中学校２校での開催を企画した。生徒が主体的に学び、学習のスキルアップや学習習慣の定着を図るとともに、学習支援員や見守りボランティアの協力によって運営される本事業は地域住民が活躍できる機会の創出につながった。</w:t>
      </w:r>
    </w:p>
    <w:p>
      <w:pPr>
        <w:pStyle w:val="0"/>
        <w:rPr>
          <w:rFonts w:hint="default" w:ascii="ＭＳ 明朝" w:hAnsi="ＭＳ 明朝"/>
          <w:color w:val="auto"/>
          <w:sz w:val="22"/>
          <w:highlight w:val="none"/>
        </w:rPr>
      </w:pPr>
      <w:r>
        <w:rPr>
          <w:rFonts w:hint="eastAsia" w:ascii="ＭＳ 明朝" w:hAnsi="ＭＳ 明朝"/>
          <w:b w:val="1"/>
          <w:color w:val="auto"/>
          <w:sz w:val="22"/>
          <w:highlight w:val="none"/>
        </w:rPr>
        <w:t>【外部評価者の点検・評価の概要】</w:t>
      </w:r>
    </w:p>
    <w:p>
      <w:pPr>
        <w:pStyle w:val="0"/>
        <w:ind w:left="220" w:hanging="220" w:hangingChars="100"/>
        <w:rPr>
          <w:rFonts w:hint="default" w:ascii="ＭＳ 明朝" w:hAnsi="ＭＳ 明朝"/>
          <w:color w:val="auto"/>
          <w:sz w:val="22"/>
          <w:highlight w:val="none"/>
        </w:rPr>
      </w:pPr>
      <w:r>
        <w:rPr>
          <w:rFonts w:hint="eastAsia" w:ascii="ＭＳ 明朝" w:hAnsi="ＭＳ 明朝"/>
          <w:color w:val="auto"/>
          <w:sz w:val="22"/>
          <w:highlight w:val="none"/>
        </w:rPr>
        <w:t>　・放課後子ども教室や地域未来塾など、地域人材の活用が進んでいる。地域未来塾については、上三川中学校地区でも実施に向けて進めてほしい。</w:t>
      </w:r>
    </w:p>
    <w:p>
      <w:pPr>
        <w:pStyle w:val="0"/>
        <w:rPr>
          <w:rFonts w:hint="default" w:ascii="ＭＳ 明朝" w:hAnsi="ＭＳ 明朝"/>
          <w:color w:val="auto"/>
          <w:sz w:val="22"/>
          <w:highlight w:val="none"/>
        </w:rPr>
      </w:pPr>
      <w:r>
        <w:rPr>
          <w:rFonts w:hint="eastAsia" w:ascii="ＭＳ 明朝" w:hAnsi="ＭＳ 明朝"/>
          <w:color w:val="auto"/>
          <w:sz w:val="22"/>
          <w:highlight w:val="none"/>
        </w:rPr>
        <w:t>　・親学出前講座開催回数が目標を上回っていることは評価できる。</w:t>
      </w:r>
    </w:p>
    <w:p>
      <w:pPr>
        <w:pStyle w:val="0"/>
        <w:ind w:leftChars="0" w:firstLineChars="0"/>
        <w:rPr>
          <w:rFonts w:hint="default" w:ascii="ＭＳ 明朝" w:hAnsi="ＭＳ 明朝"/>
          <w:color w:val="auto"/>
          <w:sz w:val="22"/>
          <w:highlight w:val="none"/>
        </w:rPr>
      </w:pPr>
      <w:r>
        <w:rPr>
          <w:rFonts w:hint="eastAsia" w:ascii="ＭＳ 明朝" w:hAnsi="ＭＳ 明朝"/>
          <w:color w:val="auto"/>
          <w:sz w:val="22"/>
          <w:highlight w:val="none"/>
        </w:rPr>
        <w:t>　</w:t>
      </w:r>
    </w:p>
    <w:p>
      <w:pPr>
        <w:pStyle w:val="0"/>
        <w:rPr>
          <w:rFonts w:hint="default" w:ascii="ＭＳ 明朝" w:hAnsi="ＭＳ 明朝"/>
          <w:color w:val="auto"/>
          <w:highlight w:val="none"/>
        </w:rPr>
      </w:pPr>
      <w:r>
        <w:rPr>
          <w:rFonts w:hint="eastAsia" w:ascii="ＭＳ 明朝" w:hAnsi="ＭＳ 明朝"/>
          <w:color w:val="auto"/>
          <w:sz w:val="22"/>
          <w:highlight w:val="none"/>
        </w:rPr>
        <w:t>　</w:t>
      </w:r>
      <w:r>
        <w:rPr>
          <w:rFonts w:hint="default" w:ascii="ＭＳ 明朝" w:hAnsi="ＭＳ 明朝"/>
          <w:b w:val="1"/>
          <w:color w:val="auto"/>
          <w:highlight w:val="none"/>
        </w:rPr>
        <w:t>➋</w:t>
      </w:r>
      <w:r>
        <w:rPr>
          <w:rFonts w:hint="eastAsia"/>
          <w:b w:val="1"/>
          <w:color w:val="auto"/>
          <w:highlight w:val="none"/>
        </w:rPr>
        <w:t>　</w:t>
      </w:r>
      <w:r>
        <w:rPr>
          <w:rFonts w:hint="eastAsia" w:ascii="ＭＳ 明朝" w:hAnsi="ＭＳ 明朝"/>
          <w:b w:val="1"/>
          <w:color w:val="auto"/>
          <w:highlight w:val="none"/>
        </w:rPr>
        <w:t>生涯学習センター事業執行体制の充実と学習機会の拡大</w:t>
      </w:r>
    </w:p>
    <w:p>
      <w:pPr>
        <w:pStyle w:val="0"/>
        <w:rPr>
          <w:rFonts w:hint="default" w:ascii="ＭＳ 明朝" w:hAnsi="ＭＳ 明朝"/>
          <w:b w:val="1"/>
          <w:color w:val="auto"/>
          <w:sz w:val="28"/>
          <w:highlight w:val="none"/>
        </w:rPr>
      </w:pPr>
      <w:r>
        <w:rPr>
          <w:rFonts w:hint="eastAsia" w:ascii="ＭＳ 明朝" w:hAnsi="ＭＳ 明朝"/>
          <w:b w:val="1"/>
          <w:color w:val="auto"/>
          <w:sz w:val="22"/>
          <w:highlight w:val="none"/>
        </w:rPr>
        <w:t>【事務・事業の概要】</w:t>
      </w:r>
    </w:p>
    <w:p>
      <w:pPr>
        <w:pStyle w:val="0"/>
        <w:rPr>
          <w:rFonts w:hint="default" w:ascii="ＭＳ 明朝" w:hAnsi="ＭＳ 明朝"/>
          <w:b w:val="1"/>
          <w:color w:val="auto"/>
          <w:sz w:val="28"/>
          <w:highlight w:val="none"/>
        </w:rPr>
      </w:pPr>
      <w:r>
        <w:rPr>
          <w:rFonts w:hint="eastAsia" w:ascii="ＭＳ 明朝" w:hAnsi="ＭＳ 明朝"/>
          <w:b w:val="1"/>
          <w:color w:val="auto"/>
          <w:sz w:val="22"/>
          <w:highlight w:val="none"/>
        </w:rPr>
        <w:t>１　目的及び効果</w:t>
      </w:r>
    </w:p>
    <w:p>
      <w:pPr>
        <w:pStyle w:val="0"/>
        <w:ind w:left="221" w:hanging="221" w:hangingChars="100"/>
        <w:rPr>
          <w:rFonts w:hint="default" w:ascii="ＭＳ 明朝" w:hAnsi="ＭＳ 明朝"/>
          <w:color w:val="auto"/>
          <w:sz w:val="22"/>
          <w:highlight w:val="none"/>
        </w:rPr>
      </w:pPr>
      <w:r>
        <w:rPr>
          <w:rFonts w:hint="eastAsia" w:ascii="ＭＳ 明朝" w:hAnsi="ＭＳ 明朝"/>
          <w:b w:val="1"/>
          <w:color w:val="auto"/>
          <w:sz w:val="22"/>
          <w:highlight w:val="none"/>
        </w:rPr>
        <w:t>　　</w:t>
      </w:r>
      <w:r>
        <w:rPr>
          <w:rFonts w:hint="eastAsia" w:ascii="ＭＳ 明朝" w:hAnsi="ＭＳ 明朝"/>
          <w:color w:val="auto"/>
          <w:sz w:val="22"/>
          <w:highlight w:val="none"/>
        </w:rPr>
        <w:t>生涯学習センターは、町民の生涯学習、地域教育活動の拠点としての機能を果たすことを基本に、多種多様な学習機会・情報を提供、自発的な学習活動、及び地域や団体活動の支援・協力を行い、「生涯学習による地域づくり・まちづくり」を推進する。</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２　事業主体</w:t>
      </w:r>
    </w:p>
    <w:p>
      <w:pPr>
        <w:pStyle w:val="0"/>
        <w:rPr>
          <w:rFonts w:hint="default" w:ascii="ＭＳ 明朝" w:hAnsi="ＭＳ 明朝"/>
          <w:color w:val="auto"/>
          <w:sz w:val="22"/>
          <w:highlight w:val="none"/>
        </w:rPr>
      </w:pPr>
      <w:r>
        <w:rPr>
          <w:rFonts w:hint="eastAsia" w:ascii="ＭＳ 明朝" w:hAnsi="ＭＳ 明朝"/>
          <w:color w:val="auto"/>
          <w:sz w:val="22"/>
          <w:highlight w:val="none"/>
        </w:rPr>
        <w:t>　　生涯学習課</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３　事業内容及び状況</w:t>
      </w:r>
    </w:p>
    <w:p>
      <w:pPr>
        <w:pStyle w:val="0"/>
        <w:ind w:left="240" w:leftChars="100" w:firstLine="220" w:firstLineChars="100"/>
        <w:rPr>
          <w:rFonts w:hint="default" w:ascii="ＭＳ 明朝" w:hAnsi="ＭＳ 明朝"/>
          <w:color w:val="auto"/>
          <w:sz w:val="22"/>
        </w:rPr>
      </w:pPr>
      <w:r>
        <w:rPr>
          <w:rFonts w:hint="eastAsia" w:ascii="ＭＳ 明朝" w:hAnsi="ＭＳ 明朝"/>
          <w:color w:val="auto"/>
          <w:sz w:val="22"/>
        </w:rPr>
        <w:t>生涯学習センター公開講座では、５月の開講式講話「地域に根ざす料理人の歩み」に８０名、８月の「かみのかわ検定」に８２名、３月の閉講式公演「弦楽四重奏コンサート」に１６５名が参加した。</w:t>
      </w:r>
    </w:p>
    <w:p>
      <w:pPr>
        <w:pStyle w:val="0"/>
        <w:ind w:left="240" w:leftChars="100" w:firstLine="220" w:firstLineChars="100"/>
        <w:rPr>
          <w:rFonts w:hint="default" w:ascii="ＭＳ 明朝" w:hAnsi="ＭＳ 明朝"/>
          <w:color w:val="auto"/>
          <w:sz w:val="22"/>
        </w:rPr>
      </w:pPr>
      <w:r>
        <w:rPr>
          <w:rFonts w:hint="eastAsia" w:ascii="ＭＳ 明朝" w:hAnsi="ＭＳ 明朝"/>
          <w:color w:val="auto"/>
          <w:sz w:val="22"/>
        </w:rPr>
        <w:t>生涯学習センター主催事業は、世代別ごとの「基本講座」では、子育て、文化、健康など、現代的課題に対応した講座を、１０講座（教育講演会、人権講座、キッズひろば、女性スマイル講座、はつらつシニア講座、元気学講座、おしゃべりサロン、オリプラカレッジ、歴史講座、文化講演会）を開設し、実施回数３７回、参加者数　　１</w:t>
      </w:r>
      <w:r>
        <w:rPr>
          <w:rFonts w:hint="eastAsia" w:ascii="ＭＳ 明朝" w:hAnsi="ＭＳ 明朝"/>
          <w:color w:val="auto"/>
          <w:sz w:val="22"/>
        </w:rPr>
        <w:t>,</w:t>
      </w:r>
      <w:r>
        <w:rPr>
          <w:rFonts w:hint="eastAsia" w:ascii="ＭＳ 明朝" w:hAnsi="ＭＳ 明朝"/>
          <w:color w:val="auto"/>
          <w:sz w:val="22"/>
        </w:rPr>
        <w:t>１９７名となった。</w:t>
      </w:r>
    </w:p>
    <w:p>
      <w:pPr>
        <w:pStyle w:val="0"/>
        <w:ind w:left="220" w:hanging="220" w:hangingChars="100"/>
        <w:rPr>
          <w:rFonts w:hint="default" w:ascii="ＭＳ 明朝" w:hAnsi="ＭＳ 明朝"/>
          <w:color w:val="auto"/>
          <w:sz w:val="22"/>
        </w:rPr>
      </w:pPr>
      <w:r>
        <w:rPr>
          <w:rFonts w:hint="eastAsia" w:ascii="ＭＳ 明朝" w:hAnsi="ＭＳ 明朝"/>
          <w:color w:val="auto"/>
          <w:sz w:val="22"/>
        </w:rPr>
        <w:t>　　また、ライフステージの生きがい・うるおいづくりの「生活文化講座」では、生活技術、趣味、文学等の講座を、２２講座（</w:t>
      </w:r>
      <w:r>
        <w:rPr>
          <w:rFonts w:hint="default" w:ascii="ＭＳ 明朝" w:hAnsi="ＭＳ 明朝"/>
          <w:color w:val="auto"/>
          <w:sz w:val="22"/>
        </w:rPr>
        <w:t>K-TOWN</w:t>
      </w:r>
      <w:r>
        <w:rPr>
          <w:rFonts w:hint="default" w:ascii="ＭＳ 明朝" w:hAnsi="ＭＳ 明朝"/>
          <w:color w:val="auto"/>
          <w:sz w:val="22"/>
        </w:rPr>
        <w:t>おやこ</w:t>
      </w:r>
      <w:r>
        <w:rPr>
          <w:rFonts w:hint="default" w:ascii="ＭＳ 明朝" w:hAnsi="ＭＳ 明朝"/>
          <w:color w:val="auto"/>
          <w:sz w:val="22"/>
        </w:rPr>
        <w:t>de</w:t>
      </w:r>
      <w:r>
        <w:rPr>
          <w:rFonts w:hint="default" w:ascii="ＭＳ 明朝" w:hAnsi="ＭＳ 明朝"/>
          <w:color w:val="auto"/>
          <w:sz w:val="22"/>
        </w:rPr>
        <w:t>えいご</w:t>
      </w:r>
      <w:r>
        <w:rPr>
          <w:rFonts w:hint="eastAsia" w:ascii="ＭＳ 明朝" w:hAnsi="ＭＳ 明朝"/>
          <w:color w:val="auto"/>
          <w:sz w:val="22"/>
        </w:rPr>
        <w:t>、上サマーイングリッシュ、文学講座、手工芸教室「マクラメ編み」、手工芸教室「はじめてのパッチワーク」、手工芸教室「ステンシルを楽しもう」、和文化講座、健康講座、暮らしのレシピ講座、ヴォーカルアンサンブル、うたごえサロン、音楽講座、音楽講座</w:t>
      </w:r>
      <w:r>
        <w:rPr>
          <w:rFonts w:hint="eastAsia" w:ascii="ＭＳ 明朝" w:hAnsi="ＭＳ 明朝"/>
          <w:color w:val="auto"/>
          <w:sz w:val="22"/>
        </w:rPr>
        <w:t>(</w:t>
      </w:r>
      <w:r>
        <w:rPr>
          <w:rFonts w:hint="eastAsia" w:ascii="ＭＳ 明朝" w:hAnsi="ＭＳ 明朝"/>
          <w:color w:val="auto"/>
          <w:sz w:val="22"/>
        </w:rPr>
        <w:t>はっぴい</w:t>
      </w:r>
      <w:r>
        <w:rPr>
          <w:rFonts w:hint="eastAsia" w:ascii="ＭＳ 明朝" w:hAnsi="ＭＳ 明朝"/>
          <w:color w:val="auto"/>
          <w:sz w:val="22"/>
        </w:rPr>
        <w:t>PAPAMAMA</w:t>
      </w:r>
      <w:r>
        <w:rPr>
          <w:rFonts w:hint="eastAsia" w:ascii="ＭＳ 明朝" w:hAnsi="ＭＳ 明朝"/>
          <w:color w:val="auto"/>
          <w:sz w:val="22"/>
        </w:rPr>
        <w:t>合同開催</w:t>
      </w:r>
      <w:r>
        <w:rPr>
          <w:rFonts w:hint="eastAsia" w:ascii="ＭＳ 明朝" w:hAnsi="ＭＳ 明朝"/>
          <w:color w:val="auto"/>
          <w:sz w:val="22"/>
        </w:rPr>
        <w:t>)</w:t>
      </w:r>
      <w:r>
        <w:rPr>
          <w:rFonts w:hint="eastAsia" w:ascii="ＭＳ 明朝" w:hAnsi="ＭＳ 明朝"/>
          <w:color w:val="auto"/>
          <w:sz w:val="22"/>
        </w:rPr>
        <w:t>、吉澤折り紙教室、みんなのおりがみ広場、</w:t>
      </w:r>
      <w:r>
        <w:rPr>
          <w:rFonts w:hint="eastAsia" w:ascii="ＭＳ 明朝" w:hAnsi="ＭＳ 明朝"/>
          <w:color w:val="auto"/>
          <w:sz w:val="22"/>
        </w:rPr>
        <w:t>ORIGAMI</w:t>
      </w:r>
      <w:r>
        <w:rPr>
          <w:rFonts w:hint="eastAsia" w:ascii="ＭＳ 明朝" w:hAnsi="ＭＳ 明朝"/>
          <w:color w:val="auto"/>
          <w:sz w:val="22"/>
        </w:rPr>
        <w:t>普及指導員ステップアップ講座、地域出前講座、ウォーキング教室、わくわく教室、漁業体験、　　　</w:t>
      </w:r>
      <w:r>
        <w:rPr>
          <w:rFonts w:hint="default" w:ascii="ＭＳ 明朝" w:hAnsi="ＭＳ 明朝"/>
          <w:color w:val="auto"/>
          <w:sz w:val="22"/>
        </w:rPr>
        <w:t>e</w:t>
      </w:r>
      <w:r>
        <w:rPr>
          <w:rFonts w:hint="eastAsia" w:ascii="ＭＳ 明朝" w:hAnsi="ＭＳ 明朝"/>
          <w:color w:val="auto"/>
          <w:sz w:val="22"/>
        </w:rPr>
        <w:t>スポーツ教室、スノーシューハイク）を開設し、実施回数１２８回、参加者数：　３</w:t>
      </w:r>
      <w:r>
        <w:rPr>
          <w:rFonts w:hint="eastAsia" w:ascii="ＭＳ 明朝" w:hAnsi="ＭＳ 明朝"/>
          <w:color w:val="auto"/>
          <w:sz w:val="22"/>
        </w:rPr>
        <w:t>,</w:t>
      </w:r>
      <w:r>
        <w:rPr>
          <w:rFonts w:hint="eastAsia" w:ascii="ＭＳ 明朝" w:hAnsi="ＭＳ 明朝"/>
          <w:color w:val="auto"/>
          <w:sz w:val="22"/>
        </w:rPr>
        <w:t>６３３名となった。</w:t>
      </w:r>
    </w:p>
    <w:p>
      <w:pPr>
        <w:pStyle w:val="0"/>
        <w:ind w:left="220" w:hanging="220" w:hangingChars="100"/>
        <w:rPr>
          <w:rFonts w:hint="default" w:ascii="ＭＳ 明朝" w:hAnsi="ＭＳ 明朝"/>
          <w:color w:val="auto"/>
          <w:sz w:val="22"/>
        </w:rPr>
      </w:pPr>
      <w:r>
        <w:rPr>
          <w:rFonts w:hint="eastAsia" w:ascii="ＭＳ 明朝" w:hAnsi="ＭＳ 明朝"/>
          <w:color w:val="auto"/>
          <w:sz w:val="22"/>
        </w:rPr>
        <w:t>　　イベントでは、クリスマスイベントとして子どもに夢を届ける「ロマンチックナイト」、</w:t>
      </w:r>
      <w:r>
        <w:rPr>
          <w:rFonts w:hint="eastAsia" w:ascii="ＭＳ 明朝" w:hAnsi="ＭＳ 明朝"/>
          <w:color w:val="auto"/>
          <w:sz w:val="22"/>
        </w:rPr>
        <w:t>ORIGAMI</w:t>
      </w:r>
      <w:r>
        <w:rPr>
          <w:rFonts w:hint="eastAsia" w:ascii="ＭＳ 明朝" w:hAnsi="ＭＳ 明朝"/>
          <w:color w:val="auto"/>
          <w:sz w:val="22"/>
        </w:rPr>
        <w:t>の展示や生涯学習センター活動の成果発表と自主学習サークルの出展、町民との交流を図る機会の場として、</w:t>
      </w:r>
      <w:r>
        <w:rPr>
          <w:rFonts w:hint="eastAsia" w:ascii="ＭＳ 明朝" w:hAnsi="ＭＳ 明朝"/>
          <w:color w:val="auto"/>
          <w:sz w:val="22"/>
        </w:rPr>
        <w:t>ORIGAMI</w:t>
      </w:r>
      <w:r>
        <w:rPr>
          <w:rFonts w:hint="eastAsia" w:ascii="ＭＳ 明朝" w:hAnsi="ＭＳ 明朝"/>
          <w:color w:val="auto"/>
          <w:sz w:val="22"/>
        </w:rPr>
        <w:t>プラザや国登録有形文化財生沼家住宅等を利用した「</w:t>
      </w:r>
      <w:r>
        <w:rPr>
          <w:rFonts w:hint="eastAsia" w:ascii="ＭＳ 明朝" w:hAnsi="ＭＳ 明朝"/>
          <w:color w:val="auto"/>
          <w:sz w:val="22"/>
        </w:rPr>
        <w:t>ORIGAMI</w:t>
      </w:r>
      <w:r>
        <w:rPr>
          <w:rFonts w:hint="eastAsia" w:ascii="ＭＳ 明朝" w:hAnsi="ＭＳ 明朝"/>
          <w:color w:val="auto"/>
          <w:sz w:val="22"/>
        </w:rPr>
        <w:t>フェスティバル」を実施した。</w:t>
      </w:r>
    </w:p>
    <w:p>
      <w:pPr>
        <w:pStyle w:val="0"/>
        <w:ind w:left="240" w:leftChars="100" w:firstLine="220" w:firstLineChars="100"/>
        <w:rPr>
          <w:rFonts w:hint="default" w:ascii="ＭＳ 明朝" w:hAnsi="ＭＳ 明朝"/>
          <w:color w:val="auto"/>
          <w:sz w:val="22"/>
          <w:highlight w:val="none"/>
        </w:rPr>
      </w:pPr>
      <w:r>
        <w:rPr>
          <w:rFonts w:hint="eastAsia" w:ascii="ＭＳ 明朝" w:hAnsi="ＭＳ 明朝"/>
          <w:color w:val="auto"/>
          <w:sz w:val="22"/>
        </w:rPr>
        <w:t>その他では、自主学習グループ（令和７年度活動申請認定団体：２０団体）、育成団体（５団体）が年間を通して定期的に学習活動をしている。</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【決算額】</w:t>
      </w:r>
    </w:p>
    <w:p>
      <w:pPr>
        <w:pStyle w:val="0"/>
        <w:rPr>
          <w:rFonts w:hint="default" w:ascii="ＭＳ 明朝" w:hAnsi="ＭＳ 明朝"/>
          <w:b w:val="1"/>
          <w:color w:val="auto"/>
          <w:sz w:val="22"/>
          <w:highlight w:val="none"/>
        </w:rPr>
      </w:pPr>
      <w:r>
        <w:rPr>
          <w:rFonts w:hint="eastAsia" w:ascii="ＭＳ 明朝" w:hAnsi="ＭＳ 明朝"/>
          <w:color w:val="auto"/>
          <w:sz w:val="22"/>
          <w:highlight w:val="none"/>
        </w:rPr>
        <w:t>　　第１０款　教育費　第４項　社会教育費　２目生涯学習センター推進事業費</w:t>
      </w:r>
      <w:r>
        <w:rPr>
          <w:rFonts w:hint="eastAsia" w:ascii="ＭＳ 明朝" w:hAnsi="ＭＳ 明朝"/>
          <w:b w:val="1"/>
          <w:color w:val="auto"/>
          <w:sz w:val="22"/>
          <w:highlight w:val="none"/>
        </w:rPr>
        <w:t>　</w:t>
      </w:r>
    </w:p>
    <w:p>
      <w:pPr>
        <w:pStyle w:val="0"/>
        <w:tabs>
          <w:tab w:val="left" w:leader="none" w:pos="1985"/>
        </w:tabs>
        <w:rPr>
          <w:rFonts w:hint="default" w:ascii="ＭＳ 明朝" w:hAnsi="ＭＳ 明朝"/>
          <w:color w:val="auto"/>
          <w:sz w:val="22"/>
          <w:highlight w:val="none"/>
        </w:rPr>
      </w:pPr>
      <w:r>
        <w:rPr>
          <w:rFonts w:hint="eastAsia" w:ascii="ＭＳ 明朝" w:hAnsi="ＭＳ 明朝"/>
          <w:b w:val="1"/>
          <w:color w:val="auto"/>
          <w:sz w:val="22"/>
          <w:highlight w:val="none"/>
        </w:rPr>
        <w:t>　　　</w:t>
      </w:r>
      <w:r>
        <w:rPr>
          <w:rFonts w:hint="eastAsia" w:ascii="ＭＳ 明朝" w:hAnsi="ＭＳ 明朝"/>
          <w:color w:val="auto"/>
          <w:sz w:val="22"/>
          <w:highlight w:val="none"/>
        </w:rPr>
        <w:t>報償費・講師謝礼等　</w:t>
      </w:r>
      <w:r>
        <w:rPr>
          <w:rFonts w:hint="eastAsia" w:ascii="ＭＳ 明朝" w:hAnsi="ＭＳ 明朝"/>
          <w:color w:val="auto"/>
          <w:sz w:val="22"/>
        </w:rPr>
        <w:t>２</w:t>
      </w:r>
      <w:r>
        <w:rPr>
          <w:rFonts w:hint="eastAsia" w:ascii="ＭＳ 明朝" w:hAnsi="ＭＳ 明朝"/>
          <w:color w:val="auto"/>
          <w:sz w:val="22"/>
        </w:rPr>
        <w:t>,</w:t>
      </w:r>
      <w:r>
        <w:rPr>
          <w:rFonts w:hint="eastAsia" w:ascii="ＭＳ 明朝" w:hAnsi="ＭＳ 明朝"/>
          <w:color w:val="auto"/>
          <w:sz w:val="22"/>
        </w:rPr>
        <w:t>１９３</w:t>
      </w:r>
      <w:r>
        <w:rPr>
          <w:rFonts w:hint="eastAsia" w:ascii="ＭＳ 明朝" w:hAnsi="ＭＳ 明朝"/>
          <w:color w:val="auto"/>
          <w:sz w:val="22"/>
          <w:highlight w:val="none"/>
        </w:rPr>
        <w:t>千円</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【事業評価（自己評価）】</w:t>
      </w:r>
    </w:p>
    <w:p>
      <w:pPr>
        <w:pStyle w:val="0"/>
        <w:ind w:left="220" w:hanging="220" w:hangingChars="100"/>
        <w:rPr>
          <w:rFonts w:hint="default" w:ascii="ＭＳ 明朝" w:hAnsi="ＭＳ 明朝"/>
          <w:color w:val="auto"/>
          <w:sz w:val="22"/>
          <w:highlight w:val="none"/>
        </w:rPr>
      </w:pPr>
      <w:r>
        <w:rPr>
          <w:rFonts w:hint="eastAsia" w:ascii="ＭＳ 明朝" w:hAnsi="ＭＳ 明朝"/>
          <w:color w:val="auto"/>
          <w:sz w:val="22"/>
          <w:highlight w:val="none"/>
        </w:rPr>
        <w:t>　　</w:t>
      </w:r>
      <w:bookmarkStart w:id="1" w:name="_Hlk173241899"/>
      <w:r>
        <w:rPr>
          <w:rFonts w:hint="eastAsia" w:ascii="ＭＳ 明朝" w:hAnsi="ＭＳ 明朝"/>
          <w:color w:val="auto"/>
          <w:sz w:val="22"/>
        </w:rPr>
        <w:t>生涯学習センター主催講座</w:t>
      </w:r>
      <w:bookmarkEnd w:id="1"/>
      <w:r>
        <w:rPr>
          <w:rFonts w:hint="eastAsia" w:ascii="ＭＳ 明朝" w:hAnsi="ＭＳ 明朝"/>
          <w:color w:val="auto"/>
          <w:sz w:val="22"/>
        </w:rPr>
        <w:t>については、延べ参加者数が令和６年度１２</w:t>
      </w:r>
      <w:r>
        <w:rPr>
          <w:rFonts w:hint="eastAsia" w:ascii="ＭＳ 明朝" w:hAnsi="ＭＳ 明朝"/>
          <w:color w:val="auto"/>
          <w:sz w:val="22"/>
        </w:rPr>
        <w:t>,</w:t>
      </w:r>
      <w:r>
        <w:rPr>
          <w:rFonts w:hint="eastAsia" w:ascii="ＭＳ 明朝" w:hAnsi="ＭＳ 明朝"/>
          <w:color w:val="auto"/>
          <w:sz w:val="22"/>
        </w:rPr>
        <w:t>３２１名に対して令和７年度１２</w:t>
      </w:r>
      <w:r>
        <w:rPr>
          <w:rFonts w:hint="eastAsia" w:ascii="ＭＳ 明朝" w:hAnsi="ＭＳ 明朝"/>
          <w:color w:val="auto"/>
          <w:sz w:val="22"/>
        </w:rPr>
        <w:t>,</w:t>
      </w:r>
      <w:r>
        <w:rPr>
          <w:rFonts w:hint="eastAsia" w:ascii="ＭＳ 明朝" w:hAnsi="ＭＳ 明朝"/>
          <w:color w:val="auto"/>
          <w:sz w:val="22"/>
        </w:rPr>
        <w:t>６０５名となり、前年比２</w:t>
      </w:r>
      <w:r>
        <w:rPr>
          <w:rFonts w:hint="eastAsia" w:ascii="ＭＳ 明朝" w:hAnsi="ＭＳ 明朝"/>
          <w:color w:val="auto"/>
          <w:sz w:val="22"/>
        </w:rPr>
        <w:t>.</w:t>
      </w:r>
      <w:r>
        <w:rPr>
          <w:rFonts w:hint="eastAsia" w:ascii="ＭＳ 明朝" w:hAnsi="ＭＳ 明朝"/>
          <w:color w:val="auto"/>
          <w:sz w:val="22"/>
        </w:rPr>
        <w:t>３％の増となった。町政７０周年を記念して実施した「かみのかわ検定」では、幅広い世代が検定に参加し、上三川町に関する様々な問題に挑戦することにより地域への理解・愛着を深める機会となった。また、「</w:t>
      </w:r>
      <w:r>
        <w:rPr>
          <w:rFonts w:hint="eastAsia" w:ascii="ＭＳ 明朝" w:hAnsi="ＭＳ 明朝"/>
          <w:color w:val="auto"/>
          <w:sz w:val="22"/>
        </w:rPr>
        <w:t>ORIGAMI</w:t>
      </w:r>
      <w:r>
        <w:rPr>
          <w:rFonts w:hint="eastAsia" w:ascii="ＭＳ 明朝" w:hAnsi="ＭＳ 明朝"/>
          <w:color w:val="auto"/>
          <w:sz w:val="22"/>
        </w:rPr>
        <w:t>のまち」を内外に発信するため「</w:t>
      </w:r>
      <w:r>
        <w:rPr>
          <w:rFonts w:hint="eastAsia" w:ascii="ＭＳ 明朝" w:hAnsi="ＭＳ 明朝"/>
          <w:color w:val="auto"/>
          <w:sz w:val="22"/>
        </w:rPr>
        <w:t>ORIGAMI</w:t>
      </w:r>
      <w:r>
        <w:rPr>
          <w:rFonts w:hint="eastAsia" w:ascii="ＭＳ 明朝" w:hAnsi="ＭＳ 明朝"/>
          <w:color w:val="auto"/>
          <w:sz w:val="22"/>
        </w:rPr>
        <w:t>フェスティバル」を開催し、生涯学習センターでは、生涯学習センター利用団体の成果発表と体験学習等をすることにより、町民との交流を図ることができた。</w:t>
      </w:r>
    </w:p>
    <w:p>
      <w:pPr>
        <w:pStyle w:val="0"/>
        <w:rPr>
          <w:rFonts w:hint="default" w:ascii="ＭＳ 明朝" w:hAnsi="ＭＳ 明朝"/>
          <w:color w:val="auto"/>
          <w:sz w:val="22"/>
          <w:highlight w:val="none"/>
        </w:rPr>
      </w:pPr>
      <w:r>
        <w:rPr>
          <w:rFonts w:hint="eastAsia" w:ascii="ＭＳ 明朝" w:hAnsi="ＭＳ 明朝"/>
          <w:b w:val="1"/>
          <w:color w:val="auto"/>
          <w:sz w:val="22"/>
          <w:highlight w:val="none"/>
        </w:rPr>
        <w:t>【外部評価者の点検・評価の概要】</w:t>
      </w:r>
    </w:p>
    <w:p>
      <w:pPr>
        <w:pStyle w:val="0"/>
        <w:ind w:left="440" w:hanging="440" w:hangingChars="200"/>
        <w:rPr>
          <w:rFonts w:hint="default" w:ascii="ＭＳ 明朝" w:hAnsi="ＭＳ 明朝"/>
          <w:color w:val="auto"/>
          <w:sz w:val="22"/>
          <w:highlight w:val="none"/>
        </w:rPr>
      </w:pPr>
      <w:r>
        <w:rPr>
          <w:rFonts w:hint="eastAsia" w:ascii="ＭＳ 明朝" w:hAnsi="ＭＳ 明朝"/>
          <w:color w:val="auto"/>
          <w:sz w:val="22"/>
          <w:highlight w:val="none"/>
        </w:rPr>
        <w:t>　・講座の参加者数が多く、生涯学習センターが地域活動の拠点として十分に機能している。</w:t>
      </w:r>
    </w:p>
    <w:p>
      <w:pPr>
        <w:pStyle w:val="0"/>
        <w:ind w:left="0" w:leftChars="0" w:firstLine="220" w:firstLineChars="100"/>
        <w:rPr>
          <w:rFonts w:hint="default" w:ascii="ＭＳ 明朝" w:hAnsi="ＭＳ 明朝"/>
          <w:color w:val="auto"/>
          <w:sz w:val="22"/>
          <w:highlight w:val="none"/>
        </w:rPr>
      </w:pPr>
      <w:r>
        <w:rPr>
          <w:rFonts w:hint="eastAsia" w:ascii="ＭＳ 明朝" w:hAnsi="ＭＳ 明朝"/>
          <w:color w:val="auto"/>
          <w:sz w:val="22"/>
          <w:highlight w:val="none"/>
        </w:rPr>
        <w:t>・町文化財を有効活用している。</w:t>
      </w:r>
    </w:p>
    <w:p>
      <w:pPr>
        <w:pStyle w:val="0"/>
        <w:ind w:left="460" w:leftChars="100" w:hanging="220" w:hangingChars="100"/>
        <w:rPr>
          <w:rFonts w:hint="default" w:ascii="ＭＳ 明朝" w:hAnsi="ＭＳ 明朝"/>
          <w:color w:val="auto"/>
          <w:sz w:val="22"/>
          <w:highlight w:val="none"/>
        </w:rPr>
      </w:pPr>
      <w:r>
        <w:rPr>
          <w:rFonts w:hint="eastAsia" w:ascii="ＭＳ 明朝" w:hAnsi="ＭＳ 明朝"/>
          <w:color w:val="auto"/>
          <w:sz w:val="22"/>
          <w:highlight w:val="none"/>
        </w:rPr>
        <w:t>・かみのかわ検定など、郷土愛を醸成する事業が実施されている。</w:t>
      </w:r>
    </w:p>
    <w:p>
      <w:pPr>
        <w:pStyle w:val="0"/>
        <w:ind w:left="460" w:leftChars="100" w:hanging="220" w:hangingChars="100"/>
        <w:rPr>
          <w:rFonts w:hint="default" w:ascii="ＭＳ 明朝" w:hAnsi="ＭＳ 明朝"/>
          <w:color w:val="auto"/>
          <w:sz w:val="22"/>
          <w:highlight w:val="none"/>
        </w:rPr>
      </w:pPr>
      <w:r>
        <w:rPr>
          <w:rFonts w:hint="eastAsia" w:ascii="ＭＳ 明朝" w:hAnsi="ＭＳ 明朝"/>
          <w:color w:val="auto"/>
          <w:sz w:val="22"/>
          <w:highlight w:val="none"/>
        </w:rPr>
        <w:t>・</w:t>
      </w:r>
      <w:r>
        <w:rPr>
          <w:rFonts w:hint="eastAsia" w:ascii="ＭＳ 明朝" w:hAnsi="ＭＳ 明朝"/>
          <w:color w:val="auto"/>
          <w:sz w:val="22"/>
          <w:highlight w:val="none"/>
        </w:rPr>
        <w:t>ORIGAMI</w:t>
      </w:r>
      <w:r>
        <w:rPr>
          <w:rFonts w:hint="eastAsia" w:ascii="ＭＳ 明朝" w:hAnsi="ＭＳ 明朝"/>
          <w:color w:val="auto"/>
          <w:sz w:val="22"/>
          <w:highlight w:val="none"/>
        </w:rPr>
        <w:t>フェスティバルなど特色ある事業を展開している。</w:t>
      </w:r>
    </w:p>
    <w:p>
      <w:pPr>
        <w:pStyle w:val="0"/>
        <w:ind w:left="460" w:leftChars="100" w:hanging="220" w:hangingChars="100"/>
        <w:rPr>
          <w:rFonts w:hint="default" w:ascii="ＭＳ 明朝" w:hAnsi="ＭＳ 明朝"/>
          <w:color w:val="auto"/>
          <w:sz w:val="22"/>
          <w:highlight w:val="none"/>
        </w:rPr>
      </w:pPr>
      <w:r>
        <w:rPr>
          <w:rFonts w:hint="eastAsia" w:ascii="ＭＳ 明朝" w:hAnsi="ＭＳ 明朝"/>
          <w:color w:val="auto"/>
          <w:sz w:val="22"/>
          <w:highlight w:val="none"/>
        </w:rPr>
        <w:t>・参加者を多く集めるには、予算の獲得以上に、アイデアにより成果を上げることも重要である。</w:t>
      </w:r>
    </w:p>
    <w:p>
      <w:pPr>
        <w:pStyle w:val="0"/>
        <w:ind w:left="460" w:leftChars="100" w:hanging="220" w:hangingChars="100"/>
        <w:rPr>
          <w:rFonts w:hint="default" w:ascii="ＭＳ 明朝" w:hAnsi="ＭＳ 明朝"/>
          <w:color w:val="auto"/>
          <w:sz w:val="22"/>
          <w:highlight w:val="none"/>
        </w:rPr>
      </w:pPr>
    </w:p>
    <w:p>
      <w:pPr>
        <w:pStyle w:val="0"/>
        <w:rPr>
          <w:rFonts w:hint="default" w:ascii="ＭＳ 明朝" w:hAnsi="ＭＳ 明朝"/>
          <w:b w:val="1"/>
          <w:color w:val="auto"/>
          <w:sz w:val="22"/>
          <w:highlight w:val="none"/>
        </w:rPr>
      </w:pPr>
      <w:r>
        <w:rPr>
          <w:rFonts w:hint="default" w:ascii="ＭＳ 明朝" w:hAnsi="ＭＳ 明朝"/>
          <w:b w:val="1"/>
          <w:color w:val="auto"/>
          <w:highlight w:val="none"/>
        </w:rPr>
        <w:t>➌</w:t>
      </w:r>
      <w:r>
        <w:rPr>
          <w:rFonts w:hint="eastAsia" w:ascii="ＭＳ 明朝" w:hAnsi="ＭＳ 明朝"/>
          <w:b w:val="1"/>
          <w:color w:val="auto"/>
          <w:highlight w:val="none"/>
        </w:rPr>
        <w:t>　生涯学習事業についての情報提供と交流の促進</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【事務・事業の概要】</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１　目的及び効果</w:t>
      </w:r>
    </w:p>
    <w:p>
      <w:pPr>
        <w:pStyle w:val="0"/>
        <w:ind w:left="220" w:hanging="220" w:hangingChars="100"/>
        <w:rPr>
          <w:rFonts w:hint="default" w:ascii="ＭＳ 明朝" w:hAnsi="ＭＳ 明朝"/>
          <w:color w:val="auto"/>
          <w:sz w:val="22"/>
          <w:highlight w:val="none"/>
        </w:rPr>
      </w:pPr>
      <w:r>
        <w:rPr>
          <w:rFonts w:hint="eastAsia" w:ascii="ＭＳ 明朝" w:hAnsi="ＭＳ 明朝"/>
          <w:color w:val="auto"/>
          <w:sz w:val="22"/>
          <w:highlight w:val="none"/>
        </w:rPr>
        <w:t>　　地域づくりやまちづくりに有効な情報を積極的に提供するとともに、地域住民の学習・交流の機会を設け、特色ある地域づくりが進められるよう住民活動支援を行う。</w:t>
      </w:r>
    </w:p>
    <w:p>
      <w:pPr>
        <w:pStyle w:val="0"/>
        <w:ind w:left="220" w:hanging="220" w:hangingChars="100"/>
        <w:rPr>
          <w:rFonts w:hint="default" w:ascii="ＭＳ 明朝" w:hAnsi="ＭＳ 明朝"/>
          <w:color w:val="auto"/>
          <w:sz w:val="22"/>
          <w:highlight w:val="none"/>
        </w:rPr>
      </w:pPr>
      <w:r>
        <w:rPr>
          <w:rFonts w:hint="eastAsia" w:ascii="ＭＳ 明朝" w:hAnsi="ＭＳ 明朝"/>
          <w:color w:val="auto"/>
          <w:sz w:val="22"/>
          <w:highlight w:val="none"/>
        </w:rPr>
        <w:t>　　地域づくりやまちづくりは、人と人、人と地域の絆づくりをこれまでの地縁、血縁、職縁に加え、文化芸術交流・学習交流やスポーツ交流を通した「学縁・好縁」が重視されており、そのことが生涯学習を必要とする社会的背景にある。</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２　事業主体</w:t>
      </w:r>
    </w:p>
    <w:p>
      <w:pPr>
        <w:pStyle w:val="0"/>
        <w:rPr>
          <w:rFonts w:hint="default" w:ascii="ＭＳ 明朝" w:hAnsi="ＭＳ 明朝"/>
          <w:color w:val="auto"/>
          <w:sz w:val="22"/>
          <w:highlight w:val="none"/>
        </w:rPr>
      </w:pPr>
      <w:r>
        <w:rPr>
          <w:rFonts w:hint="eastAsia" w:ascii="ＭＳ 明朝" w:hAnsi="ＭＳ 明朝"/>
          <w:b w:val="1"/>
          <w:color w:val="auto"/>
          <w:sz w:val="22"/>
          <w:highlight w:val="none"/>
        </w:rPr>
        <w:t>　　</w:t>
      </w:r>
      <w:r>
        <w:rPr>
          <w:rFonts w:hint="eastAsia" w:ascii="ＭＳ 明朝" w:hAnsi="ＭＳ 明朝"/>
          <w:color w:val="auto"/>
          <w:sz w:val="22"/>
          <w:highlight w:val="none"/>
        </w:rPr>
        <w:t>生涯学習課</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３　事業内容及び状況</w:t>
      </w:r>
    </w:p>
    <w:p>
      <w:pPr>
        <w:pStyle w:val="0"/>
        <w:ind w:left="220" w:hanging="220" w:hangingChars="100"/>
        <w:rPr>
          <w:rFonts w:hint="default" w:ascii="ＭＳ 明朝" w:hAnsi="ＭＳ 明朝"/>
          <w:color w:val="auto"/>
          <w:sz w:val="22"/>
          <w:highlight w:val="none"/>
        </w:rPr>
      </w:pPr>
      <w:r>
        <w:rPr>
          <w:rFonts w:hint="eastAsia" w:ascii="ＭＳ 明朝" w:hAnsi="ＭＳ 明朝"/>
          <w:color w:val="auto"/>
          <w:sz w:val="22"/>
          <w:highlight w:val="none"/>
        </w:rPr>
        <w:t>　　町・生涯学習センター・図書館・上三川日産スポーツセンターの情報をホームページ等により、いつでも必要なときに情報が得られるよう情報の提供を行った。併せて、重要事業については、かみたんメールや新聞にて情報の周知を図った。交流の促進では、地域の連帯感、人々の交流を育むため、各種スポーツ大会の開催やレクリエーション活動の支援を行った。</w:t>
      </w:r>
    </w:p>
    <w:p>
      <w:pPr>
        <w:pStyle w:val="0"/>
        <w:ind w:left="240" w:leftChars="100" w:firstLine="220" w:firstLineChars="100"/>
        <w:rPr>
          <w:rFonts w:hint="default" w:ascii="ＭＳ 明朝" w:hAnsi="ＭＳ 明朝"/>
          <w:color w:val="auto"/>
          <w:sz w:val="22"/>
          <w:highlight w:val="none"/>
        </w:rPr>
      </w:pPr>
      <w:r>
        <w:rPr>
          <w:rFonts w:hint="eastAsia" w:ascii="ＭＳ 明朝" w:hAnsi="ＭＳ 明朝"/>
          <w:color w:val="auto"/>
          <w:sz w:val="22"/>
          <w:highlight w:val="none"/>
        </w:rPr>
        <w:t>町民の文化芸術活動の成果を発表する場として文化祭を計画し、</w:t>
      </w:r>
      <w:r>
        <w:rPr>
          <w:rFonts w:hint="eastAsia" w:ascii="ＭＳ 明朝" w:hAnsi="ＭＳ 明朝"/>
          <w:color w:val="auto"/>
          <w:sz w:val="22"/>
          <w:highlight w:val="none"/>
        </w:rPr>
        <w:t>ORIGAMI</w:t>
      </w:r>
      <w:r>
        <w:rPr>
          <w:rFonts w:hint="eastAsia" w:ascii="ＭＳ 明朝" w:hAnsi="ＭＳ 明朝"/>
          <w:color w:val="auto"/>
          <w:sz w:val="22"/>
          <w:highlight w:val="none"/>
        </w:rPr>
        <w:t>プラザ及び上三川いきいきプラザを新たな会場として実施した。</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【決算額】</w:t>
      </w:r>
    </w:p>
    <w:p>
      <w:pPr>
        <w:pStyle w:val="0"/>
        <w:rPr>
          <w:rFonts w:hint="default" w:ascii="ＭＳ 明朝" w:hAnsi="ＭＳ 明朝"/>
          <w:color w:val="auto"/>
          <w:sz w:val="22"/>
          <w:highlight w:val="none"/>
        </w:rPr>
      </w:pPr>
      <w:r>
        <w:rPr>
          <w:rFonts w:hint="eastAsia" w:ascii="ＭＳ 明朝" w:hAnsi="ＭＳ 明朝"/>
          <w:b w:val="1"/>
          <w:color w:val="auto"/>
          <w:sz w:val="22"/>
          <w:highlight w:val="none"/>
        </w:rPr>
        <w:t>　　</w:t>
      </w:r>
      <w:r>
        <w:rPr>
          <w:rFonts w:hint="eastAsia" w:ascii="ＭＳ 明朝" w:hAnsi="ＭＳ 明朝"/>
          <w:color w:val="auto"/>
          <w:sz w:val="22"/>
          <w:highlight w:val="none"/>
        </w:rPr>
        <w:t>第１０款　教育費　第４項　社会教育費　６目　文化振興費　　　</w:t>
      </w:r>
      <w:r>
        <w:rPr>
          <w:rFonts w:hint="eastAsia" w:ascii="ＭＳ 明朝" w:hAnsi="ＭＳ 明朝"/>
          <w:color w:val="auto"/>
          <w:sz w:val="22"/>
        </w:rPr>
        <w:t>４</w:t>
      </w:r>
      <w:r>
        <w:rPr>
          <w:rFonts w:hint="eastAsia" w:ascii="ＭＳ 明朝" w:hAnsi="ＭＳ 明朝"/>
          <w:color w:val="auto"/>
          <w:sz w:val="22"/>
        </w:rPr>
        <w:t>,</w:t>
      </w:r>
      <w:r>
        <w:rPr>
          <w:rFonts w:hint="eastAsia" w:ascii="ＭＳ 明朝" w:hAnsi="ＭＳ 明朝"/>
          <w:color w:val="auto"/>
          <w:sz w:val="22"/>
        </w:rPr>
        <w:t>７９４</w:t>
      </w:r>
      <w:r>
        <w:rPr>
          <w:rFonts w:hint="eastAsia" w:ascii="ＭＳ 明朝" w:hAnsi="ＭＳ 明朝"/>
          <w:color w:val="auto"/>
          <w:sz w:val="22"/>
          <w:highlight w:val="none"/>
        </w:rPr>
        <w:t>千円</w:t>
      </w:r>
    </w:p>
    <w:p>
      <w:pPr>
        <w:pStyle w:val="0"/>
        <w:rPr>
          <w:rFonts w:hint="default" w:ascii="ＭＳ 明朝" w:hAnsi="ＭＳ 明朝"/>
          <w:color w:val="auto"/>
          <w:sz w:val="22"/>
          <w:highlight w:val="none"/>
        </w:rPr>
      </w:pPr>
      <w:r>
        <w:rPr>
          <w:rFonts w:hint="eastAsia" w:ascii="ＭＳ 明朝" w:hAnsi="ＭＳ 明朝"/>
          <w:color w:val="auto"/>
          <w:sz w:val="22"/>
          <w:highlight w:val="none"/>
        </w:rPr>
        <w:t>　　第１０款　教育費　第５項　保健体育費　２目　体育振興費　　　３</w:t>
      </w:r>
      <w:r>
        <w:rPr>
          <w:rFonts w:hint="eastAsia" w:ascii="ＭＳ 明朝" w:hAnsi="ＭＳ 明朝"/>
          <w:color w:val="auto"/>
          <w:sz w:val="22"/>
          <w:highlight w:val="none"/>
        </w:rPr>
        <w:t>,</w:t>
      </w:r>
      <w:r>
        <w:rPr>
          <w:rFonts w:hint="eastAsia" w:ascii="ＭＳ 明朝" w:hAnsi="ＭＳ 明朝"/>
          <w:color w:val="auto"/>
          <w:sz w:val="22"/>
          <w:highlight w:val="none"/>
        </w:rPr>
        <w:t>８３９千円</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【事業評価（自己評価）】</w:t>
      </w:r>
    </w:p>
    <w:p>
      <w:pPr>
        <w:pStyle w:val="0"/>
        <w:ind w:left="220" w:hanging="220" w:hangingChars="100"/>
        <w:jc w:val="left"/>
        <w:rPr>
          <w:rFonts w:hint="default" w:ascii="ＭＳ 明朝" w:hAnsi="ＭＳ 明朝"/>
          <w:color w:val="auto"/>
          <w:sz w:val="22"/>
          <w:highlight w:val="none"/>
        </w:rPr>
      </w:pPr>
      <w:r>
        <w:rPr>
          <w:rFonts w:hint="eastAsia" w:ascii="ＭＳ 明朝" w:hAnsi="ＭＳ 明朝"/>
          <w:color w:val="auto"/>
          <w:sz w:val="22"/>
          <w:highlight w:val="none"/>
        </w:rPr>
        <w:t>　　文化祭などの文化事業、</w:t>
      </w:r>
      <w:r>
        <w:rPr>
          <w:rFonts w:hint="eastAsia" w:ascii="ＭＳ 明朝" w:hAnsi="ＭＳ 明朝"/>
          <w:color w:val="auto"/>
          <w:sz w:val="22"/>
          <w:highlight w:val="none"/>
        </w:rPr>
        <w:t>NISSAN</w:t>
      </w:r>
      <w:r>
        <w:rPr>
          <w:rFonts w:hint="eastAsia" w:ascii="ＭＳ 明朝" w:hAnsi="ＭＳ 明朝"/>
          <w:color w:val="auto"/>
          <w:sz w:val="22"/>
          <w:highlight w:val="none"/>
        </w:rPr>
        <w:t>しらさぎマラソン大会</w:t>
      </w:r>
      <w:r>
        <w:rPr>
          <w:rFonts w:hint="eastAsia" w:ascii="ＭＳ 明朝" w:hAnsi="ＭＳ 明朝"/>
          <w:color w:val="auto"/>
          <w:sz w:val="22"/>
          <w:highlight w:val="none"/>
        </w:rPr>
        <w:t>in</w:t>
      </w:r>
      <w:r>
        <w:rPr>
          <w:rFonts w:hint="eastAsia" w:ascii="ＭＳ 明朝" w:hAnsi="ＭＳ 明朝"/>
          <w:color w:val="auto"/>
          <w:sz w:val="22"/>
          <w:highlight w:val="none"/>
        </w:rPr>
        <w:t>上三川、</w:t>
      </w:r>
      <w:r>
        <w:rPr>
          <w:rFonts w:hint="eastAsia" w:ascii="ＭＳ 明朝" w:hAnsi="ＭＳ 明朝"/>
          <w:color w:val="auto"/>
          <w:sz w:val="22"/>
          <w:highlight w:val="none"/>
        </w:rPr>
        <w:t>NISSAN</w:t>
      </w:r>
      <w:r>
        <w:rPr>
          <w:rFonts w:hint="eastAsia" w:ascii="ＭＳ 明朝" w:hAnsi="ＭＳ 明朝"/>
          <w:color w:val="auto"/>
          <w:sz w:val="22"/>
          <w:highlight w:val="none"/>
        </w:rPr>
        <w:t>しらさぎ駅伝競走大会などのスポーツ事業を通して、生きがいの場、学びの場、交流の場を提供することができた。</w:t>
      </w:r>
    </w:p>
    <w:p>
      <w:pPr>
        <w:pStyle w:val="0"/>
        <w:ind w:left="220" w:hanging="220" w:hangingChars="100"/>
        <w:jc w:val="left"/>
        <w:rPr>
          <w:rFonts w:hint="default" w:ascii="ＭＳ 明朝" w:hAnsi="ＭＳ 明朝"/>
          <w:color w:val="auto"/>
          <w:sz w:val="22"/>
          <w:highlight w:val="none"/>
        </w:rPr>
      </w:pPr>
      <w:r>
        <w:rPr>
          <w:rFonts w:hint="eastAsia" w:ascii="ＭＳ 明朝" w:hAnsi="ＭＳ 明朝"/>
          <w:color w:val="auto"/>
          <w:sz w:val="22"/>
          <w:highlight w:val="none"/>
        </w:rPr>
        <w:t>　　人づくり、地域づくりは、住民が主体となって自ら進めていくものであり、そのための学習情報を町ホームページ、広報、新聞などを活用して提供し、効果があがった。</w:t>
      </w:r>
    </w:p>
    <w:p>
      <w:pPr>
        <w:pStyle w:val="0"/>
        <w:ind w:left="220" w:hanging="220" w:hangingChars="100"/>
        <w:jc w:val="left"/>
        <w:rPr>
          <w:rFonts w:hint="default" w:ascii="ＭＳ 明朝" w:hAnsi="ＭＳ 明朝"/>
          <w:color w:val="auto"/>
          <w:sz w:val="22"/>
          <w:highlight w:val="none"/>
        </w:rPr>
      </w:pPr>
      <w:r>
        <w:rPr>
          <w:rFonts w:hint="eastAsia" w:ascii="ＭＳ 明朝" w:hAnsi="ＭＳ 明朝"/>
          <w:color w:val="auto"/>
          <w:sz w:val="22"/>
          <w:highlight w:val="none"/>
        </w:rPr>
        <w:t>　　</w:t>
      </w:r>
      <w:r>
        <w:rPr>
          <w:rFonts w:hint="eastAsia" w:ascii="ＭＳ 明朝" w:hAnsi="ＭＳ 明朝"/>
          <w:color w:val="auto"/>
          <w:sz w:val="22"/>
        </w:rPr>
        <w:t>友好都市である茨城県大洗町との文化交流は、昨年に引き続き双方の文化祭において展示作品とステージ発表の交流を行った。</w:t>
      </w:r>
      <w:r>
        <w:rPr>
          <w:rFonts w:hint="eastAsia" w:ascii="ＭＳ 明朝" w:hAnsi="ＭＳ 明朝"/>
          <w:color w:val="auto"/>
          <w:sz w:val="22"/>
          <w:highlight w:val="none"/>
        </w:rPr>
        <w:t>他地域の優れた活動に触れ、町民の文化活動の活性化に寄与しており、今後も文化交流を継続していきたい。</w:t>
      </w:r>
    </w:p>
    <w:p>
      <w:pPr>
        <w:pStyle w:val="0"/>
        <w:ind w:left="221" w:hanging="221" w:hangingChars="100"/>
        <w:jc w:val="left"/>
        <w:rPr>
          <w:rFonts w:hint="default" w:ascii="ＭＳ 明朝" w:hAnsi="ＭＳ 明朝"/>
          <w:b w:val="1"/>
          <w:color w:val="auto"/>
          <w:sz w:val="22"/>
          <w:highlight w:val="none"/>
        </w:rPr>
      </w:pPr>
      <w:r>
        <w:rPr>
          <w:rFonts w:hint="eastAsia" w:ascii="ＭＳ 明朝" w:hAnsi="ＭＳ 明朝"/>
          <w:b w:val="1"/>
          <w:color w:val="auto"/>
          <w:sz w:val="22"/>
          <w:highlight w:val="none"/>
        </w:rPr>
        <w:t>【外部評価者の点検・評価の概要】</w:t>
      </w:r>
    </w:p>
    <w:p>
      <w:pPr>
        <w:pStyle w:val="0"/>
        <w:ind w:left="220" w:hanging="220" w:hangingChars="100"/>
        <w:rPr>
          <w:rFonts w:hint="default" w:ascii="ＭＳ 明朝" w:hAnsi="ＭＳ 明朝"/>
          <w:color w:val="auto"/>
          <w:sz w:val="22"/>
          <w:highlight w:val="none"/>
        </w:rPr>
      </w:pPr>
      <w:r>
        <w:rPr>
          <w:rFonts w:hint="eastAsia" w:ascii="ＭＳ 明朝" w:hAnsi="ＭＳ 明朝"/>
          <w:color w:val="auto"/>
          <w:sz w:val="22"/>
          <w:highlight w:val="none"/>
        </w:rPr>
        <w:t>・中学生や高校生のボランティアが各種事業に参加することで、運営側のメリットはもちろんあるが、中学生や高校生も参加者や運営側との交流を通じて、様々な経験ができ、良い効果が生まれている。</w:t>
      </w:r>
    </w:p>
    <w:p>
      <w:pPr>
        <w:pStyle w:val="0"/>
        <w:ind w:leftChars="0" w:firstLineChars="0"/>
        <w:rPr>
          <w:rFonts w:hint="eastAsia" w:ascii="ＭＳ 明朝" w:hAnsi="ＭＳ 明朝"/>
          <w:color w:val="auto"/>
          <w:sz w:val="22"/>
          <w:highlight w:val="none"/>
        </w:rPr>
      </w:pPr>
      <w:r>
        <w:rPr>
          <w:rFonts w:hint="eastAsia" w:ascii="ＭＳ 明朝" w:hAnsi="ＭＳ 明朝"/>
          <w:color w:val="auto"/>
          <w:sz w:val="22"/>
          <w:highlight w:val="none"/>
        </w:rPr>
        <w:t>・若年世代の参加を促進するため、ＳＮＳによる講座の情報発信やｅスポーツ、ＡＩ活用など、ソフト面での創意工夫を行い、できるものを取り入れていただきたい。</w:t>
      </w:r>
    </w:p>
    <w:p>
      <w:pPr>
        <w:pStyle w:val="0"/>
        <w:ind w:leftChars="0" w:firstLineChars="0"/>
        <w:rPr>
          <w:rFonts w:hint="eastAsia" w:ascii="ＭＳ 明朝" w:hAnsi="ＭＳ 明朝"/>
          <w:color w:val="auto"/>
          <w:sz w:val="22"/>
          <w:highlight w:val="none"/>
        </w:rPr>
      </w:pPr>
    </w:p>
    <w:p>
      <w:pPr>
        <w:pStyle w:val="0"/>
        <w:ind w:leftChars="0" w:firstLineChars="0"/>
        <w:rPr>
          <w:rFonts w:hint="eastAsia" w:ascii="ＭＳ 明朝" w:hAnsi="ＭＳ 明朝"/>
          <w:color w:val="auto"/>
          <w:sz w:val="22"/>
          <w:highlight w:val="none"/>
        </w:rPr>
      </w:pPr>
    </w:p>
    <w:p>
      <w:pPr>
        <w:pStyle w:val="0"/>
        <w:rPr>
          <w:rFonts w:hint="default" w:ascii="ＭＳ 明朝" w:hAnsi="ＭＳ 明朝"/>
          <w:b w:val="1"/>
          <w:color w:val="auto"/>
          <w:highlight w:val="none"/>
        </w:rPr>
      </w:pPr>
      <w:r>
        <w:rPr>
          <w:rFonts w:hint="default" w:ascii="ＭＳ 明朝" w:hAnsi="ＭＳ 明朝"/>
          <w:b w:val="1"/>
          <w:color w:val="auto"/>
          <w:highlight w:val="none"/>
        </w:rPr>
        <w:t>➍</w:t>
      </w:r>
      <w:r>
        <w:rPr>
          <w:rFonts w:hint="eastAsia" w:ascii="ＭＳ 明朝" w:hAnsi="ＭＳ 明朝"/>
          <w:b w:val="1"/>
          <w:color w:val="auto"/>
          <w:highlight w:val="none"/>
        </w:rPr>
        <w:t>　「ほんの里かみのかわ」づくり</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【事務・事業の概要】</w:t>
      </w:r>
    </w:p>
    <w:p>
      <w:pPr>
        <w:pStyle w:val="0"/>
        <w:rPr>
          <w:rFonts w:hint="default"/>
          <w:b w:val="1"/>
          <w:color w:val="auto"/>
          <w:sz w:val="22"/>
          <w:highlight w:val="none"/>
        </w:rPr>
      </w:pPr>
      <w:r>
        <w:rPr>
          <w:rFonts w:hint="eastAsia" w:ascii="ＭＳ 明朝" w:hAnsi="ＭＳ 明朝"/>
          <w:b w:val="1"/>
          <w:color w:val="auto"/>
          <w:sz w:val="22"/>
          <w:highlight w:val="none"/>
        </w:rPr>
        <w:t>１　目的及び効果</w:t>
      </w:r>
    </w:p>
    <w:p>
      <w:pPr>
        <w:pStyle w:val="0"/>
        <w:ind w:left="220" w:hanging="220" w:hangingChars="100"/>
        <w:rPr>
          <w:rFonts w:hint="default"/>
          <w:color w:val="auto"/>
          <w:sz w:val="22"/>
          <w:highlight w:val="none"/>
        </w:rPr>
      </w:pPr>
      <w:r>
        <w:rPr>
          <w:rFonts w:hint="eastAsia"/>
          <w:color w:val="auto"/>
          <w:sz w:val="22"/>
          <w:highlight w:val="none"/>
        </w:rPr>
        <w:t>　　町民の日常生活に役立ち、親しみやすく明るく頼りがいのある図書館となるよう、町民の求める図書館資料の収集と貸出を中心に、地域に根ざした図書館奉仕活動を行い、町民の自発的な学習意欲に応え郷土の文化発展に寄与する。</w:t>
      </w:r>
    </w:p>
    <w:p>
      <w:pPr>
        <w:pStyle w:val="0"/>
        <w:rPr>
          <w:rFonts w:hint="default"/>
          <w:b w:val="1"/>
          <w:color w:val="auto"/>
          <w:sz w:val="22"/>
          <w:highlight w:val="none"/>
        </w:rPr>
      </w:pPr>
      <w:r>
        <w:rPr>
          <w:rFonts w:hint="eastAsia"/>
          <w:b w:val="1"/>
          <w:color w:val="auto"/>
          <w:sz w:val="22"/>
          <w:highlight w:val="none"/>
        </w:rPr>
        <w:t>２　事業主体</w:t>
      </w:r>
    </w:p>
    <w:p>
      <w:pPr>
        <w:pStyle w:val="0"/>
        <w:rPr>
          <w:rFonts w:hint="default"/>
          <w:b w:val="1"/>
          <w:color w:val="auto"/>
          <w:sz w:val="22"/>
          <w:highlight w:val="none"/>
        </w:rPr>
      </w:pPr>
      <w:r>
        <w:rPr>
          <w:rFonts w:hint="eastAsia" w:ascii="ＭＳ 明朝" w:hAnsi="ＭＳ 明朝"/>
          <w:color w:val="auto"/>
          <w:sz w:val="22"/>
          <w:highlight w:val="none"/>
        </w:rPr>
        <w:t>　　生涯学習課</w:t>
      </w:r>
    </w:p>
    <w:p>
      <w:pPr>
        <w:pStyle w:val="0"/>
        <w:rPr>
          <w:rFonts w:hint="default"/>
          <w:b w:val="1"/>
          <w:color w:val="auto"/>
          <w:sz w:val="22"/>
          <w:highlight w:val="none"/>
        </w:rPr>
      </w:pPr>
      <w:r>
        <w:rPr>
          <w:rFonts w:hint="eastAsia"/>
          <w:b w:val="1"/>
          <w:color w:val="auto"/>
          <w:sz w:val="22"/>
          <w:highlight w:val="none"/>
        </w:rPr>
        <w:t>３　事業内容及び状況</w:t>
      </w:r>
    </w:p>
    <w:p>
      <w:pPr>
        <w:pStyle w:val="0"/>
        <w:ind w:left="240" w:leftChars="100" w:firstLine="220" w:firstLineChars="100"/>
        <w:rPr>
          <w:rFonts w:hint="default"/>
          <w:color w:val="auto"/>
          <w:sz w:val="22"/>
          <w:highlight w:val="none"/>
        </w:rPr>
      </w:pPr>
      <w:r>
        <w:rPr>
          <w:rFonts w:hint="eastAsia"/>
          <w:color w:val="auto"/>
          <w:sz w:val="22"/>
          <w:highlight w:val="none"/>
        </w:rPr>
        <w:t>図書館利用サービスの向上や高度な専門知識の提供を拡充するため平成２２年度から図書館指定管理者制度を導入し１６年目となった。</w:t>
      </w:r>
    </w:p>
    <w:p>
      <w:pPr>
        <w:pStyle w:val="0"/>
        <w:ind w:left="240" w:leftChars="100" w:firstLine="220" w:firstLineChars="100"/>
        <w:rPr>
          <w:rFonts w:hint="default"/>
          <w:strike w:val="1"/>
          <w:color w:val="auto"/>
          <w:sz w:val="22"/>
        </w:rPr>
      </w:pPr>
      <w:r>
        <w:rPr>
          <w:rFonts w:hint="eastAsia"/>
          <w:color w:val="auto"/>
          <w:sz w:val="22"/>
        </w:rPr>
        <w:t>今年度から指定管理者導入４期目（令和７年４月１日～令和１２年３月３１日）となり、休日の休館日及び開館蔵書点検作業日の短縮、夏休み期間中の月曜日開館の実施、開館時間の延長を、夏季</w:t>
      </w:r>
      <w:r>
        <w:rPr>
          <w:rFonts w:hint="eastAsia" w:ascii="ＭＳ 明朝" w:hAnsi="ＭＳ 明朝"/>
          <w:color w:val="auto"/>
          <w:sz w:val="22"/>
        </w:rPr>
        <w:t>（４月～９月）は１９時００分、冬季（１０月～３月）は１８時３０分と継続して行っており、利用者サービスの向上につながっている。</w:t>
      </w:r>
    </w:p>
    <w:p>
      <w:pPr>
        <w:pStyle w:val="0"/>
        <w:ind w:left="240" w:leftChars="100" w:firstLine="220" w:firstLineChars="100"/>
        <w:rPr>
          <w:rFonts w:hint="default"/>
          <w:color w:val="auto"/>
          <w:sz w:val="22"/>
        </w:rPr>
      </w:pPr>
      <w:r>
        <w:rPr>
          <w:rFonts w:hint="eastAsia"/>
          <w:color w:val="auto"/>
          <w:sz w:val="22"/>
        </w:rPr>
        <w:t>図書館に足を運ぶきっかけとなるよう、また訪れる人に図書館を身近に感じてもらえるよう「ぬいぐるみおとまりかい」、「図書館ビンゴ」、「調べるコンクール」等の事業や、ボランティアによる「てづくり工作会」、「読み聞かせ」等を開催し、子どもたちの読書普及に向けたきっかけづくりの強化を図った。</w:t>
      </w:r>
    </w:p>
    <w:p>
      <w:pPr>
        <w:pStyle w:val="0"/>
        <w:ind w:left="240" w:leftChars="100" w:firstLine="220" w:firstLineChars="100"/>
        <w:rPr>
          <w:rFonts w:hint="default"/>
          <w:strike w:val="1"/>
          <w:color w:val="auto"/>
          <w:sz w:val="22"/>
          <w:highlight w:val="none"/>
          <w:shd w:val="pct15" w:color="auto" w:fill="FFFFFF"/>
        </w:rPr>
      </w:pPr>
      <w:r>
        <w:rPr>
          <w:rFonts w:hint="eastAsia"/>
          <w:color w:val="auto"/>
          <w:sz w:val="22"/>
        </w:rPr>
        <w:t>前年度比較で、</w:t>
      </w:r>
      <w:r>
        <w:rPr>
          <w:rFonts w:hint="eastAsia" w:ascii="ＭＳ 明朝" w:hAnsi="ＭＳ 明朝"/>
          <w:color w:val="auto"/>
          <w:sz w:val="22"/>
        </w:rPr>
        <w:t>入館者数は２</w:t>
      </w:r>
      <w:r>
        <w:rPr>
          <w:rFonts w:hint="eastAsia" w:ascii="ＭＳ 明朝" w:hAnsi="ＭＳ 明朝"/>
          <w:color w:val="auto"/>
          <w:sz w:val="22"/>
        </w:rPr>
        <w:t>,</w:t>
      </w:r>
      <w:r>
        <w:rPr>
          <w:rFonts w:hint="eastAsia" w:ascii="ＭＳ 明朝" w:hAnsi="ＭＳ 明朝"/>
          <w:color w:val="auto"/>
          <w:sz w:val="22"/>
        </w:rPr>
        <w:t>０７８人減の５４</w:t>
      </w:r>
      <w:r>
        <w:rPr>
          <w:rFonts w:hint="eastAsia" w:ascii="ＭＳ 明朝" w:hAnsi="ＭＳ 明朝"/>
          <w:color w:val="auto"/>
          <w:sz w:val="22"/>
        </w:rPr>
        <w:t>,</w:t>
      </w:r>
      <w:r>
        <w:rPr>
          <w:rFonts w:hint="eastAsia" w:ascii="ＭＳ 明朝" w:hAnsi="ＭＳ 明朝"/>
          <w:color w:val="auto"/>
          <w:sz w:val="22"/>
        </w:rPr>
        <w:t>１５９人、貸し出し者数は８１人減の２９</w:t>
      </w:r>
      <w:r>
        <w:rPr>
          <w:rFonts w:hint="eastAsia" w:ascii="ＭＳ 明朝" w:hAnsi="ＭＳ 明朝"/>
          <w:color w:val="auto"/>
          <w:sz w:val="22"/>
        </w:rPr>
        <w:t>,</w:t>
      </w:r>
      <w:r>
        <w:rPr>
          <w:rFonts w:hint="eastAsia" w:ascii="ＭＳ 明朝" w:hAnsi="ＭＳ 明朝"/>
          <w:color w:val="auto"/>
          <w:sz w:val="22"/>
        </w:rPr>
        <w:t>４２２人、貸出冊数は５</w:t>
      </w:r>
      <w:r>
        <w:rPr>
          <w:rFonts w:hint="eastAsia" w:ascii="ＭＳ 明朝" w:hAnsi="ＭＳ 明朝"/>
          <w:color w:val="auto"/>
          <w:sz w:val="22"/>
        </w:rPr>
        <w:t>,</w:t>
      </w:r>
      <w:r>
        <w:rPr>
          <w:rFonts w:hint="eastAsia" w:ascii="ＭＳ 明朝" w:hAnsi="ＭＳ 明朝"/>
          <w:color w:val="auto"/>
          <w:sz w:val="22"/>
        </w:rPr>
        <w:t>０３１冊減の１３０</w:t>
      </w:r>
      <w:r>
        <w:rPr>
          <w:rFonts w:hint="eastAsia" w:ascii="ＭＳ 明朝" w:hAnsi="ＭＳ 明朝"/>
          <w:color w:val="auto"/>
          <w:sz w:val="22"/>
        </w:rPr>
        <w:t>,</w:t>
      </w:r>
      <w:r>
        <w:rPr>
          <w:rFonts w:hint="eastAsia" w:ascii="ＭＳ 明朝" w:hAnsi="ＭＳ 明朝"/>
          <w:color w:val="auto"/>
          <w:sz w:val="22"/>
        </w:rPr>
        <w:t>４３１冊となり、全ての数値で前年からの減となった。</w:t>
      </w:r>
    </w:p>
    <w:p>
      <w:pPr>
        <w:pStyle w:val="0"/>
        <w:ind w:left="220" w:hanging="220"/>
        <w:rPr>
          <w:rFonts w:hint="default"/>
          <w:color w:val="auto"/>
          <w:sz w:val="22"/>
          <w:highlight w:val="none"/>
        </w:rPr>
      </w:pPr>
      <w:r>
        <w:rPr>
          <w:rFonts w:hint="eastAsia" w:ascii="ＭＳ 明朝" w:hAnsi="ＭＳ 明朝"/>
          <w:b w:val="1"/>
          <w:color w:val="auto"/>
          <w:sz w:val="22"/>
          <w:highlight w:val="none"/>
        </w:rPr>
        <w:t>【決算額】</w:t>
      </w:r>
    </w:p>
    <w:p>
      <w:pPr>
        <w:pStyle w:val="0"/>
        <w:ind w:left="662" w:leftChars="184" w:hanging="220" w:hangingChars="100"/>
        <w:jc w:val="left"/>
        <w:rPr>
          <w:rFonts w:hint="default"/>
          <w:color w:val="auto"/>
          <w:sz w:val="22"/>
          <w:highlight w:val="none"/>
        </w:rPr>
      </w:pPr>
      <w:r>
        <w:rPr>
          <w:rFonts w:hint="eastAsia"/>
          <w:color w:val="auto"/>
          <w:sz w:val="22"/>
          <w:highlight w:val="none"/>
        </w:rPr>
        <w:t>第１０款　教育費　第４項　社会教育費　４目　図書館費　</w:t>
      </w:r>
    </w:p>
    <w:p>
      <w:pPr>
        <w:pStyle w:val="0"/>
        <w:ind w:left="682" w:leftChars="284" w:firstLine="0" w:firstLineChars="0"/>
        <w:jc w:val="left"/>
        <w:rPr>
          <w:rFonts w:hint="default"/>
          <w:color w:val="auto"/>
          <w:sz w:val="22"/>
          <w:highlight w:val="none"/>
        </w:rPr>
      </w:pPr>
      <w:r>
        <w:rPr>
          <w:rFonts w:hint="eastAsia"/>
          <w:color w:val="auto"/>
          <w:sz w:val="22"/>
          <w:highlight w:val="none"/>
        </w:rPr>
        <w:t>指定管理料</w:t>
      </w:r>
      <w:r>
        <w:rPr>
          <w:rFonts w:hint="eastAsia" w:ascii="ＭＳ 明朝" w:hAnsi="ＭＳ 明朝"/>
          <w:color w:val="auto"/>
          <w:sz w:val="22"/>
          <w:highlight w:val="none"/>
        </w:rPr>
        <w:t>　</w:t>
      </w:r>
      <w:r>
        <w:rPr>
          <w:rFonts w:hint="eastAsia" w:ascii="ＭＳ 明朝" w:hAnsi="ＭＳ 明朝"/>
          <w:color w:val="auto"/>
          <w:sz w:val="22"/>
        </w:rPr>
        <w:t>６３</w:t>
      </w:r>
      <w:r>
        <w:rPr>
          <w:rFonts w:hint="eastAsia" w:ascii="ＭＳ 明朝" w:hAnsi="ＭＳ 明朝"/>
          <w:color w:val="auto"/>
          <w:sz w:val="22"/>
        </w:rPr>
        <w:t>,</w:t>
      </w:r>
      <w:r>
        <w:rPr>
          <w:rFonts w:hint="eastAsia" w:ascii="ＭＳ 明朝" w:hAnsi="ＭＳ 明朝"/>
          <w:color w:val="auto"/>
          <w:sz w:val="22"/>
        </w:rPr>
        <w:t>７５６</w:t>
      </w:r>
      <w:r>
        <w:rPr>
          <w:rFonts w:hint="eastAsia"/>
          <w:color w:val="auto"/>
          <w:sz w:val="22"/>
          <w:highlight w:val="none"/>
        </w:rPr>
        <w:t>千円　</w:t>
      </w:r>
    </w:p>
    <w:p>
      <w:pPr>
        <w:pStyle w:val="0"/>
        <w:rPr>
          <w:rFonts w:hint="default"/>
          <w:b w:val="1"/>
          <w:color w:val="auto"/>
          <w:sz w:val="22"/>
          <w:highlight w:val="none"/>
        </w:rPr>
      </w:pPr>
      <w:r>
        <w:rPr>
          <w:rFonts w:hint="eastAsia" w:ascii="ＭＳ 明朝" w:hAnsi="ＭＳ 明朝"/>
          <w:b w:val="1"/>
          <w:color w:val="auto"/>
          <w:sz w:val="22"/>
          <w:highlight w:val="none"/>
        </w:rPr>
        <w:t>【事業評価（自己評価）】</w:t>
      </w:r>
    </w:p>
    <w:p>
      <w:pPr>
        <w:pStyle w:val="0"/>
        <w:ind w:left="240" w:leftChars="100" w:firstLine="220" w:firstLineChars="100"/>
        <w:rPr>
          <w:rFonts w:hint="default"/>
          <w:b w:val="1"/>
          <w:color w:val="auto"/>
          <w:sz w:val="22"/>
        </w:rPr>
      </w:pPr>
      <w:r>
        <w:rPr>
          <w:rFonts w:hint="eastAsia"/>
          <w:color w:val="auto"/>
          <w:sz w:val="22"/>
        </w:rPr>
        <w:t>利用者のサービス向上を第一に、開館時間を延長し、図書、雑誌、紙芝</w:t>
      </w:r>
      <w:r>
        <w:rPr>
          <w:rFonts w:hint="eastAsia" w:ascii="ＭＳ 明朝" w:hAnsi="ＭＳ 明朝"/>
          <w:color w:val="auto"/>
          <w:sz w:val="22"/>
        </w:rPr>
        <w:t>居の貸出冊数を無制限としている。</w:t>
      </w:r>
    </w:p>
    <w:p>
      <w:pPr>
        <w:pStyle w:val="0"/>
        <w:ind w:left="240" w:leftChars="100" w:firstLine="220" w:firstLineChars="100"/>
        <w:rPr>
          <w:rFonts w:hint="default" w:ascii="ＭＳ 明朝" w:hAnsi="ＭＳ 明朝"/>
          <w:color w:val="auto"/>
          <w:sz w:val="22"/>
        </w:rPr>
      </w:pPr>
      <w:r>
        <w:rPr>
          <w:rFonts w:hint="eastAsia" w:ascii="ＭＳ 明朝" w:hAnsi="ＭＳ 明朝"/>
          <w:color w:val="auto"/>
          <w:sz w:val="22"/>
        </w:rPr>
        <w:t>季節や行事、旬の話題などの利用者の目を引くテーマに合わせ関連する資料展示を行うとともに、様々な自主事業を展開することで、施設の利用を促すことができた。また、町イベントと連携してブックリサイクルや読み聞かせなどを実施し、利用者の読書の幅を広げたことで参加者の知的要求を満たすことができ、読書の推進に繋げることができた。前年度に比べて、入館者数等が減少した原因については、昨年近隣に新しくできた図書館の影響が考えられる。</w:t>
      </w:r>
    </w:p>
    <w:p>
      <w:pPr>
        <w:pStyle w:val="0"/>
        <w:ind w:left="240" w:leftChars="100" w:firstLine="220" w:firstLineChars="100"/>
        <w:rPr>
          <w:rFonts w:hint="default" w:ascii="ＭＳ 明朝" w:hAnsi="ＭＳ 明朝"/>
          <w:color w:val="auto"/>
          <w:sz w:val="22"/>
          <w:highlight w:val="none"/>
        </w:rPr>
      </w:pPr>
      <w:r>
        <w:rPr>
          <w:rFonts w:hint="eastAsia" w:ascii="ＭＳ 明朝" w:hAnsi="ＭＳ 明朝"/>
          <w:color w:val="auto"/>
          <w:sz w:val="22"/>
        </w:rPr>
        <w:t>図書ボランティアによる読み聞かせ活動等の多くの事業を実施し、個人や学生ボランティアの方々がこれまでの経験等を活かす場を提供することができた。課題として、ボランティアが減少傾向にあるため、地域での活動に意欲のあるシニア世代だけでなく、図書に興味を持つ様々な方々にボランティア養成講座への積極的な参加を働きかけ、図書ボランティアの育成・増加を目指し、継続的な支援をしていきたい</w:t>
      </w:r>
      <w:r>
        <w:rPr>
          <w:rFonts w:hint="eastAsia" w:ascii="ＭＳ 明朝" w:hAnsi="ＭＳ 明朝"/>
          <w:color w:val="auto"/>
          <w:sz w:val="22"/>
          <w:highlight w:val="none"/>
        </w:rPr>
        <w:t>。</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【外部評価者の点検・評価の概要】</w:t>
      </w:r>
    </w:p>
    <w:p>
      <w:pPr>
        <w:pStyle w:val="0"/>
        <w:ind w:left="440" w:hanging="440" w:hangingChars="200"/>
        <w:rPr>
          <w:rFonts w:hint="default" w:ascii="ＭＳ 明朝" w:hAnsi="ＭＳ 明朝"/>
          <w:color w:val="auto"/>
          <w:sz w:val="22"/>
          <w:highlight w:val="none"/>
        </w:rPr>
      </w:pPr>
      <w:r>
        <w:rPr>
          <w:rFonts w:hint="eastAsia" w:ascii="ＭＳ 明朝" w:hAnsi="ＭＳ 明朝"/>
          <w:color w:val="auto"/>
          <w:sz w:val="22"/>
          <w:highlight w:val="none"/>
        </w:rPr>
        <w:t>　・図書館を使った調べる学習コンクールは、子ども達が自ら課題を見つけ、自ら調べ、自ら解決していく主体的な学びとなっている。</w:t>
      </w:r>
    </w:p>
    <w:p>
      <w:pPr>
        <w:pStyle w:val="0"/>
        <w:ind w:left="440" w:hanging="440" w:hangingChars="200"/>
        <w:rPr>
          <w:rFonts w:hint="default" w:ascii="ＭＳ 明朝" w:hAnsi="ＭＳ 明朝"/>
          <w:color w:val="auto"/>
          <w:sz w:val="22"/>
          <w:highlight w:val="none"/>
        </w:rPr>
      </w:pPr>
      <w:r>
        <w:rPr>
          <w:rFonts w:hint="eastAsia" w:ascii="ＭＳ 明朝" w:hAnsi="ＭＳ 明朝"/>
          <w:color w:val="auto"/>
          <w:sz w:val="22"/>
          <w:highlight w:val="none"/>
        </w:rPr>
        <w:t>　・図書館の来館者数、貸出冊数が減少しているため、老朽化対策のほか、上三川町ならではの特化した蔵書や居心地の良い空間など、図書館活性化策を講じてほしい。</w:t>
      </w:r>
    </w:p>
    <w:p>
      <w:pPr>
        <w:pStyle w:val="0"/>
        <w:ind w:leftChars="0" w:firstLineChars="0"/>
        <w:rPr>
          <w:rFonts w:hint="eastAsia" w:ascii="ＭＳ 明朝" w:hAnsi="ＭＳ 明朝"/>
          <w:color w:val="auto"/>
          <w:sz w:val="22"/>
          <w:highlight w:val="none"/>
        </w:rPr>
      </w:pPr>
      <w:r>
        <w:rPr>
          <w:rFonts w:hint="eastAsia" w:ascii="ＭＳ 明朝" w:hAnsi="ＭＳ 明朝"/>
          <w:color w:val="auto"/>
          <w:sz w:val="22"/>
          <w:highlight w:val="none"/>
        </w:rPr>
        <w:t>　・図書ボランティアも減少傾向にあることからボランティア育成に取り組んでほしい。</w:t>
      </w:r>
    </w:p>
    <w:p>
      <w:pPr>
        <w:pStyle w:val="0"/>
        <w:ind w:leftChars="0" w:firstLineChars="0"/>
        <w:rPr>
          <w:rFonts w:hint="eastAsia" w:ascii="ＭＳ 明朝" w:hAnsi="ＭＳ 明朝"/>
          <w:color w:val="auto"/>
          <w:sz w:val="22"/>
          <w:highlight w:val="none"/>
        </w:rPr>
      </w:pPr>
    </w:p>
    <w:p>
      <w:pPr>
        <w:pStyle w:val="0"/>
        <w:ind w:leftChars="0" w:firstLineChars="0"/>
        <w:rPr>
          <w:rFonts w:hint="eastAsia" w:ascii="ＭＳ 明朝" w:hAnsi="ＭＳ 明朝"/>
          <w:color w:val="auto"/>
          <w:sz w:val="22"/>
          <w:highlight w:val="none"/>
        </w:rPr>
      </w:pPr>
    </w:p>
    <w:p>
      <w:pPr>
        <w:pStyle w:val="0"/>
        <w:ind w:leftChars="0" w:firstLineChars="0"/>
        <w:rPr>
          <w:rFonts w:hint="eastAsia" w:ascii="ＭＳ 明朝" w:hAnsi="ＭＳ 明朝"/>
          <w:color w:val="auto"/>
          <w:sz w:val="22"/>
          <w:highlight w:val="none"/>
        </w:rPr>
      </w:pPr>
    </w:p>
    <w:p>
      <w:pPr>
        <w:pStyle w:val="0"/>
        <w:rPr>
          <w:rFonts w:hint="default" w:ascii="ＭＳ 明朝" w:hAnsi="ＭＳ 明朝"/>
          <w:color w:val="auto"/>
          <w:sz w:val="22"/>
          <w:highlight w:val="none"/>
        </w:rPr>
      </w:pPr>
      <w:r>
        <w:rPr>
          <w:rFonts w:hint="eastAsia" w:ascii="ＭＳ 明朝" w:hAnsi="ＭＳ 明朝"/>
          <w:color w:val="auto"/>
          <w:sz w:val="22"/>
          <w:highlight w:val="none"/>
        </w:rPr>
        <w:t>【</w:t>
      </w:r>
      <w:r>
        <w:rPr>
          <w:rFonts w:hint="eastAsia"/>
          <w:b w:val="1"/>
          <w:color w:val="auto"/>
          <w:sz w:val="22"/>
          <w:highlight w:val="none"/>
        </w:rPr>
        <w:t>第２章　生涯学習の充実に関する指標</w:t>
      </w:r>
      <w:r>
        <w:rPr>
          <w:rFonts w:hint="eastAsia" w:ascii="ＭＳ 明朝" w:hAnsi="ＭＳ 明朝"/>
          <w:color w:val="auto"/>
          <w:sz w:val="22"/>
          <w:highlight w:val="none"/>
        </w:rPr>
        <w:t>】</w:t>
      </w:r>
    </w:p>
    <w:p>
      <w:pPr>
        <w:pStyle w:val="0"/>
        <w:ind w:firstLine="221" w:firstLineChars="100"/>
        <w:rPr>
          <w:rFonts w:hint="default"/>
          <w:color w:val="auto"/>
          <w:sz w:val="22"/>
          <w:highlight w:val="none"/>
        </w:rPr>
      </w:pPr>
      <w:r>
        <w:rPr>
          <w:rFonts w:hint="default" w:ascii="ＭＳ 明朝" w:hAnsi="ＭＳ 明朝"/>
          <w:b w:val="1"/>
          <w:color w:val="auto"/>
          <w:sz w:val="22"/>
          <w:highlight w:val="none"/>
        </w:rPr>
        <w:t>➊</w:t>
      </w:r>
      <w:r>
        <w:rPr>
          <w:rFonts w:hint="eastAsia"/>
          <w:b w:val="1"/>
          <w:color w:val="auto"/>
          <w:sz w:val="22"/>
          <w:highlight w:val="none"/>
        </w:rPr>
        <w:t>　生涯学習の積極的推進</w:t>
      </w:r>
    </w:p>
    <w:p>
      <w:pPr>
        <w:pStyle w:val="0"/>
        <w:ind w:firstLine="221" w:firstLineChars="100"/>
        <w:rPr>
          <w:rFonts w:hint="default"/>
          <w:color w:val="auto"/>
          <w:sz w:val="22"/>
          <w:highlight w:val="none"/>
        </w:rPr>
      </w:pPr>
      <w:r>
        <w:rPr>
          <w:rFonts w:hint="default" w:ascii="ＭＳ 明朝" w:hAnsi="ＭＳ 明朝"/>
          <w:b w:val="1"/>
          <w:color w:val="auto"/>
          <w:sz w:val="22"/>
          <w:highlight w:val="none"/>
        </w:rPr>
        <w:t>➋</w:t>
      </w:r>
      <w:r>
        <w:rPr>
          <w:rFonts w:hint="eastAsia"/>
          <w:b w:val="1"/>
          <w:color w:val="auto"/>
          <w:sz w:val="22"/>
          <w:highlight w:val="none"/>
        </w:rPr>
        <w:t>　生涯学習センター事業執行体制の充実と学習機会の拡大</w:t>
      </w:r>
    </w:p>
    <w:p>
      <w:pPr>
        <w:pStyle w:val="0"/>
        <w:ind w:firstLine="221" w:firstLineChars="100"/>
        <w:rPr>
          <w:rFonts w:hint="default" w:ascii="ＭＳ 明朝" w:hAnsi="ＭＳ 明朝"/>
          <w:color w:val="auto"/>
          <w:sz w:val="22"/>
          <w:highlight w:val="none"/>
        </w:rPr>
      </w:pPr>
      <w:r>
        <w:rPr>
          <w:rFonts w:hint="default" w:ascii="ＭＳ 明朝" w:hAnsi="ＭＳ 明朝"/>
          <w:b w:val="1"/>
          <w:color w:val="auto"/>
          <w:sz w:val="22"/>
          <w:highlight w:val="none"/>
        </w:rPr>
        <w:t>➌</w:t>
      </w:r>
      <w:r>
        <w:rPr>
          <w:rFonts w:hint="eastAsia" w:ascii="ＭＳ 明朝" w:hAnsi="ＭＳ 明朝"/>
          <w:b w:val="1"/>
          <w:color w:val="auto"/>
          <w:sz w:val="22"/>
          <w:highlight w:val="none"/>
        </w:rPr>
        <w:t>　生涯学習事業についての情報提供と交流の促進</w:t>
      </w:r>
    </w:p>
    <w:p>
      <w:pPr>
        <w:pStyle w:val="0"/>
        <w:ind w:firstLine="221" w:firstLineChars="100"/>
        <w:rPr>
          <w:rFonts w:hint="default" w:ascii="ＭＳ 明朝" w:hAnsi="ＭＳ 明朝"/>
          <w:color w:val="auto"/>
          <w:sz w:val="22"/>
          <w:highlight w:val="none"/>
        </w:rPr>
      </w:pPr>
      <w:r>
        <w:rPr>
          <w:rFonts w:hint="default" w:ascii="ＭＳ 明朝" w:hAnsi="ＭＳ 明朝"/>
          <w:b w:val="1"/>
          <w:color w:val="auto"/>
          <w:sz w:val="22"/>
          <w:highlight w:val="none"/>
        </w:rPr>
        <w:t>➍</w:t>
      </w:r>
      <w:r>
        <w:rPr>
          <w:rFonts w:hint="eastAsia" w:ascii="ＭＳ 明朝" w:hAnsi="ＭＳ 明朝"/>
          <w:b w:val="1"/>
          <w:color w:val="auto"/>
          <w:sz w:val="22"/>
          <w:highlight w:val="none"/>
        </w:rPr>
        <w:t>　「ほんの里かみのかわ」づくり</w:t>
      </w:r>
    </w:p>
    <w:tbl>
      <w:tblPr>
        <w:tblStyle w:val="11"/>
        <w:tblW w:w="8695"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536"/>
        <w:gridCol w:w="1386"/>
        <w:gridCol w:w="1386"/>
        <w:gridCol w:w="1387"/>
      </w:tblGrid>
      <w:tr>
        <w:trPr>
          <w:trHeight w:val="336" w:hRule="atLeast"/>
        </w:trPr>
        <w:tc>
          <w:tcPr>
            <w:tcW w:w="4536" w:type="dxa"/>
            <w:vAlign w:val="center"/>
          </w:tcPr>
          <w:p>
            <w:pPr>
              <w:pStyle w:val="0"/>
              <w:jc w:val="center"/>
              <w:rPr>
                <w:rFonts w:hint="default" w:ascii="ＭＳ 明朝" w:hAnsi="ＭＳ 明朝"/>
                <w:color w:val="auto"/>
                <w:sz w:val="22"/>
                <w:highlight w:val="none"/>
              </w:rPr>
            </w:pPr>
            <w:r>
              <w:rPr>
                <w:rFonts w:hint="eastAsia" w:ascii="ＭＳ 明朝" w:hAnsi="ＭＳ 明朝"/>
                <w:color w:val="auto"/>
                <w:sz w:val="22"/>
                <w:highlight w:val="none"/>
              </w:rPr>
              <w:t>指標名</w:t>
            </w:r>
          </w:p>
        </w:tc>
        <w:tc>
          <w:tcPr>
            <w:tcW w:w="138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基準値</w:t>
            </w:r>
            <w:r>
              <w:rPr>
                <w:rFonts w:hint="eastAsia" w:ascii="ＭＳ 明朝" w:hAnsi="ＭＳ 明朝"/>
                <w:color w:val="auto"/>
                <w:sz w:val="22"/>
                <w:highlight w:val="none"/>
              </w:rPr>
              <w:t>(</w:t>
            </w:r>
            <w:r>
              <w:rPr>
                <w:rFonts w:hint="default" w:ascii="ＭＳ 明朝" w:hAnsi="ＭＳ 明朝"/>
                <w:color w:val="auto"/>
                <w:sz w:val="22"/>
                <w:highlight w:val="none"/>
              </w:rPr>
              <w:t>R1)</w:t>
            </w:r>
          </w:p>
        </w:tc>
        <w:tc>
          <w:tcPr>
            <w:tcW w:w="138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実績値</w:t>
            </w:r>
            <w:r>
              <w:rPr>
                <w:rFonts w:hint="eastAsia" w:ascii="ＭＳ 明朝" w:hAnsi="ＭＳ 明朝"/>
                <w:color w:val="auto"/>
                <w:sz w:val="22"/>
                <w:highlight w:val="none"/>
              </w:rPr>
              <w:t>(</w:t>
            </w:r>
            <w:r>
              <w:rPr>
                <w:rFonts w:hint="default" w:ascii="ＭＳ 明朝" w:hAnsi="ＭＳ 明朝"/>
                <w:color w:val="auto"/>
                <w:sz w:val="22"/>
                <w:highlight w:val="none"/>
              </w:rPr>
              <w:t>R</w:t>
            </w:r>
            <w:r>
              <w:rPr>
                <w:rFonts w:hint="eastAsia" w:ascii="ＭＳ 明朝" w:hAnsi="ＭＳ 明朝"/>
                <w:color w:val="auto"/>
                <w:sz w:val="22"/>
                <w:highlight w:val="none"/>
              </w:rPr>
              <w:t>7</w:t>
            </w:r>
            <w:r>
              <w:rPr>
                <w:rFonts w:hint="default" w:ascii="ＭＳ 明朝" w:hAnsi="ＭＳ 明朝"/>
                <w:color w:val="auto"/>
                <w:sz w:val="22"/>
                <w:highlight w:val="none"/>
              </w:rPr>
              <w:t>)</w:t>
            </w:r>
          </w:p>
        </w:tc>
        <w:tc>
          <w:tcPr>
            <w:tcW w:w="1387"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目標値</w:t>
            </w:r>
            <w:r>
              <w:rPr>
                <w:rFonts w:hint="eastAsia" w:ascii="ＭＳ 明朝" w:hAnsi="ＭＳ 明朝"/>
                <w:color w:val="auto"/>
                <w:sz w:val="22"/>
                <w:highlight w:val="none"/>
              </w:rPr>
              <w:t>(</w:t>
            </w:r>
            <w:r>
              <w:rPr>
                <w:rFonts w:hint="default" w:ascii="ＭＳ 明朝" w:hAnsi="ＭＳ 明朝"/>
                <w:color w:val="auto"/>
                <w:sz w:val="22"/>
                <w:highlight w:val="none"/>
              </w:rPr>
              <w:t>R7)</w:t>
            </w:r>
          </w:p>
        </w:tc>
      </w:tr>
      <w:tr>
        <w:trPr>
          <w:trHeight w:val="348" w:hRule="atLeast"/>
        </w:trPr>
        <w:tc>
          <w:tcPr>
            <w:tcW w:w="453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親学出前講座の開催回数</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6</w:t>
            </w:r>
            <w:r>
              <w:rPr>
                <w:rFonts w:hint="eastAsia" w:ascii="ＭＳ 明朝" w:hAnsi="ＭＳ 明朝"/>
                <w:color w:val="auto"/>
                <w:sz w:val="22"/>
                <w:highlight w:val="none"/>
              </w:rPr>
              <w:t>回</w:t>
            </w:r>
          </w:p>
        </w:tc>
        <w:tc>
          <w:tcPr>
            <w:tcW w:w="1386" w:type="dxa"/>
            <w:vAlign w:val="center"/>
          </w:tcPr>
          <w:p>
            <w:pPr>
              <w:pStyle w:val="0"/>
              <w:wordWrap w:val="0"/>
              <w:jc w:val="right"/>
              <w:rPr>
                <w:rFonts w:hint="default" w:ascii="ＭＳ 明朝" w:hAnsi="ＭＳ 明朝"/>
                <w:color w:val="auto"/>
                <w:sz w:val="22"/>
                <w:highlight w:val="none"/>
              </w:rPr>
            </w:pPr>
            <w:r>
              <w:rPr>
                <w:rFonts w:hint="eastAsia" w:ascii="ＭＳ 明朝" w:hAnsi="ＭＳ 明朝"/>
                <w:color w:val="auto"/>
                <w:sz w:val="22"/>
              </w:rPr>
              <w:t>12</w:t>
            </w:r>
            <w:r>
              <w:rPr>
                <w:rFonts w:hint="eastAsia" w:ascii="ＭＳ 明朝" w:hAnsi="ＭＳ 明朝"/>
                <w:color w:val="auto"/>
                <w:sz w:val="22"/>
                <w:highlight w:val="none"/>
              </w:rPr>
              <w:t>回</w:t>
            </w:r>
          </w:p>
        </w:tc>
        <w:tc>
          <w:tcPr>
            <w:tcW w:w="1387"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7</w:t>
            </w:r>
            <w:r>
              <w:rPr>
                <w:rFonts w:hint="eastAsia" w:ascii="ＭＳ 明朝" w:hAnsi="ＭＳ 明朝"/>
                <w:color w:val="auto"/>
                <w:sz w:val="22"/>
                <w:highlight w:val="none"/>
              </w:rPr>
              <w:t>回</w:t>
            </w:r>
          </w:p>
        </w:tc>
      </w:tr>
      <w:tr>
        <w:trPr>
          <w:trHeight w:val="348" w:hRule="atLeast"/>
        </w:trPr>
        <w:tc>
          <w:tcPr>
            <w:tcW w:w="453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生涯学習センター主催講座の受講及びイベントで来館した町民等の延べ人数</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7,469</w:t>
            </w:r>
            <w:r>
              <w:rPr>
                <w:rFonts w:hint="eastAsia" w:ascii="ＭＳ 明朝" w:hAnsi="ＭＳ 明朝"/>
                <w:color w:val="auto"/>
                <w:sz w:val="22"/>
                <w:highlight w:val="none"/>
              </w:rPr>
              <w:t>人</w:t>
            </w:r>
          </w:p>
        </w:tc>
        <w:tc>
          <w:tcPr>
            <w:tcW w:w="1386" w:type="dxa"/>
            <w:vAlign w:val="center"/>
          </w:tcPr>
          <w:p>
            <w:pPr>
              <w:pStyle w:val="0"/>
              <w:wordWrap w:val="0"/>
              <w:jc w:val="right"/>
              <w:rPr>
                <w:rFonts w:hint="default" w:ascii="ＭＳ 明朝" w:hAnsi="ＭＳ 明朝"/>
                <w:color w:val="auto"/>
                <w:sz w:val="22"/>
                <w:highlight w:val="none"/>
              </w:rPr>
            </w:pPr>
            <w:r>
              <w:rPr>
                <w:rFonts w:hint="eastAsia" w:ascii="ＭＳ 明朝" w:hAnsi="ＭＳ 明朝"/>
                <w:color w:val="auto"/>
                <w:sz w:val="22"/>
              </w:rPr>
              <w:t>12,605</w:t>
            </w:r>
            <w:r>
              <w:rPr>
                <w:rFonts w:hint="eastAsia" w:ascii="ＭＳ 明朝" w:hAnsi="ＭＳ 明朝"/>
                <w:color w:val="auto"/>
                <w:sz w:val="22"/>
                <w:highlight w:val="none"/>
              </w:rPr>
              <w:t>人</w:t>
            </w:r>
          </w:p>
        </w:tc>
        <w:tc>
          <w:tcPr>
            <w:tcW w:w="1387"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9,000</w:t>
            </w:r>
            <w:r>
              <w:rPr>
                <w:rFonts w:hint="eastAsia" w:ascii="ＭＳ 明朝" w:hAnsi="ＭＳ 明朝"/>
                <w:color w:val="auto"/>
                <w:sz w:val="22"/>
                <w:highlight w:val="none"/>
              </w:rPr>
              <w:t>人</w:t>
            </w:r>
          </w:p>
        </w:tc>
      </w:tr>
      <w:tr>
        <w:trPr>
          <w:trHeight w:val="132" w:hRule="atLeast"/>
        </w:trPr>
        <w:tc>
          <w:tcPr>
            <w:tcW w:w="453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出前講座の参加人数</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250</w:t>
            </w:r>
            <w:r>
              <w:rPr>
                <w:rFonts w:hint="eastAsia" w:ascii="ＭＳ 明朝" w:hAnsi="ＭＳ 明朝"/>
                <w:color w:val="auto"/>
                <w:sz w:val="22"/>
                <w:highlight w:val="none"/>
              </w:rPr>
              <w:t>人</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rPr>
              <w:t>252</w:t>
            </w:r>
            <w:r>
              <w:rPr>
                <w:rFonts w:hint="eastAsia" w:ascii="ＭＳ 明朝" w:hAnsi="ＭＳ 明朝"/>
                <w:color w:val="auto"/>
                <w:sz w:val="22"/>
                <w:highlight w:val="none"/>
              </w:rPr>
              <w:t>人</w:t>
            </w:r>
          </w:p>
        </w:tc>
        <w:tc>
          <w:tcPr>
            <w:tcW w:w="1387"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350</w:t>
            </w:r>
            <w:r>
              <w:rPr>
                <w:rFonts w:hint="eastAsia" w:ascii="ＭＳ 明朝" w:hAnsi="ＭＳ 明朝"/>
                <w:color w:val="auto"/>
                <w:sz w:val="22"/>
                <w:highlight w:val="none"/>
              </w:rPr>
              <w:t>人</w:t>
            </w:r>
          </w:p>
        </w:tc>
      </w:tr>
      <w:tr>
        <w:trPr>
          <w:trHeight w:val="132" w:hRule="atLeast"/>
        </w:trPr>
        <w:tc>
          <w:tcPr>
            <w:tcW w:w="453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PTA</w:t>
            </w:r>
            <w:r>
              <w:rPr>
                <w:rFonts w:hint="eastAsia" w:ascii="ＭＳ 明朝" w:hAnsi="ＭＳ 明朝"/>
                <w:color w:val="auto"/>
                <w:sz w:val="22"/>
                <w:highlight w:val="none"/>
              </w:rPr>
              <w:t>指導者養成講座等派遣者数</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19</w:t>
            </w:r>
            <w:r>
              <w:rPr>
                <w:rFonts w:hint="eastAsia" w:ascii="ＭＳ 明朝" w:hAnsi="ＭＳ 明朝"/>
                <w:color w:val="auto"/>
                <w:sz w:val="22"/>
                <w:highlight w:val="none"/>
              </w:rPr>
              <w:t>人</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rPr>
              <w:t>30</w:t>
            </w:r>
            <w:r>
              <w:rPr>
                <w:rFonts w:hint="eastAsia" w:ascii="ＭＳ 明朝" w:hAnsi="ＭＳ 明朝"/>
                <w:color w:val="auto"/>
                <w:sz w:val="22"/>
                <w:highlight w:val="none"/>
              </w:rPr>
              <w:t>人</w:t>
            </w:r>
          </w:p>
        </w:tc>
        <w:tc>
          <w:tcPr>
            <w:tcW w:w="1387"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25</w:t>
            </w:r>
            <w:r>
              <w:rPr>
                <w:rFonts w:hint="eastAsia" w:ascii="ＭＳ 明朝" w:hAnsi="ＭＳ 明朝"/>
                <w:color w:val="auto"/>
                <w:sz w:val="22"/>
                <w:highlight w:val="none"/>
              </w:rPr>
              <w:t>人</w:t>
            </w:r>
          </w:p>
        </w:tc>
      </w:tr>
      <w:tr>
        <w:trPr>
          <w:trHeight w:val="204" w:hRule="atLeast"/>
        </w:trPr>
        <w:tc>
          <w:tcPr>
            <w:tcW w:w="453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町内学校図書館における一人当たりの利用冊数</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33</w:t>
            </w:r>
            <w:r>
              <w:rPr>
                <w:rFonts w:hint="eastAsia" w:ascii="ＭＳ 明朝" w:hAnsi="ＭＳ 明朝"/>
                <w:color w:val="auto"/>
                <w:sz w:val="22"/>
                <w:highlight w:val="none"/>
              </w:rPr>
              <w:t>冊</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rPr>
              <w:t>54</w:t>
            </w:r>
            <w:r>
              <w:rPr>
                <w:rFonts w:hint="eastAsia" w:ascii="ＭＳ 明朝" w:hAnsi="ＭＳ 明朝"/>
                <w:color w:val="auto"/>
                <w:sz w:val="22"/>
                <w:highlight w:val="none"/>
              </w:rPr>
              <w:t>冊</w:t>
            </w:r>
          </w:p>
        </w:tc>
        <w:tc>
          <w:tcPr>
            <w:tcW w:w="1387"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36</w:t>
            </w:r>
            <w:r>
              <w:rPr>
                <w:rFonts w:hint="eastAsia" w:ascii="ＭＳ 明朝" w:hAnsi="ＭＳ 明朝"/>
                <w:color w:val="auto"/>
                <w:sz w:val="22"/>
                <w:highlight w:val="none"/>
              </w:rPr>
              <w:t>冊</w:t>
            </w:r>
          </w:p>
        </w:tc>
      </w:tr>
      <w:tr>
        <w:trPr>
          <w:trHeight w:val="144" w:hRule="atLeast"/>
        </w:trPr>
        <w:tc>
          <w:tcPr>
            <w:tcW w:w="453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図書館貸出資料数</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142,567</w:t>
            </w:r>
            <w:r>
              <w:rPr>
                <w:rFonts w:hint="eastAsia" w:ascii="ＭＳ 明朝" w:hAnsi="ＭＳ 明朝"/>
                <w:color w:val="auto"/>
                <w:sz w:val="22"/>
                <w:highlight w:val="none"/>
              </w:rPr>
              <w:t>冊</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rPr>
              <w:t>130,431</w:t>
            </w:r>
            <w:r>
              <w:rPr>
                <w:rFonts w:hint="eastAsia" w:ascii="ＭＳ 明朝" w:hAnsi="ＭＳ 明朝"/>
                <w:color w:val="auto"/>
                <w:sz w:val="22"/>
                <w:highlight w:val="none"/>
              </w:rPr>
              <w:t>冊</w:t>
            </w:r>
          </w:p>
        </w:tc>
        <w:tc>
          <w:tcPr>
            <w:tcW w:w="1387"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149,000</w:t>
            </w:r>
            <w:r>
              <w:rPr>
                <w:rFonts w:hint="eastAsia" w:ascii="ＭＳ 明朝" w:hAnsi="ＭＳ 明朝"/>
                <w:color w:val="auto"/>
                <w:sz w:val="22"/>
                <w:highlight w:val="none"/>
              </w:rPr>
              <w:t>冊</w:t>
            </w:r>
          </w:p>
        </w:tc>
      </w:tr>
      <w:tr>
        <w:trPr>
          <w:trHeight w:val="180" w:hRule="atLeast"/>
        </w:trPr>
        <w:tc>
          <w:tcPr>
            <w:tcW w:w="453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レファレンス受付件数</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1,687</w:t>
            </w:r>
            <w:r>
              <w:rPr>
                <w:rFonts w:hint="eastAsia" w:ascii="ＭＳ 明朝" w:hAnsi="ＭＳ 明朝"/>
                <w:color w:val="auto"/>
                <w:sz w:val="22"/>
                <w:highlight w:val="none"/>
              </w:rPr>
              <w:t>件</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rPr>
              <w:t>2,029</w:t>
            </w:r>
            <w:r>
              <w:rPr>
                <w:rFonts w:hint="eastAsia" w:ascii="ＭＳ 明朝" w:hAnsi="ＭＳ 明朝"/>
                <w:color w:val="auto"/>
                <w:sz w:val="22"/>
                <w:highlight w:val="none"/>
              </w:rPr>
              <w:t>件</w:t>
            </w:r>
          </w:p>
        </w:tc>
        <w:tc>
          <w:tcPr>
            <w:tcW w:w="1387"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2,000</w:t>
            </w:r>
            <w:r>
              <w:rPr>
                <w:rFonts w:hint="eastAsia" w:ascii="ＭＳ 明朝" w:hAnsi="ＭＳ 明朝"/>
                <w:color w:val="auto"/>
                <w:sz w:val="22"/>
                <w:highlight w:val="none"/>
              </w:rPr>
              <w:t>件</w:t>
            </w:r>
          </w:p>
        </w:tc>
      </w:tr>
      <w:tr>
        <w:trPr>
          <w:trHeight w:val="168" w:hRule="atLeast"/>
        </w:trPr>
        <w:tc>
          <w:tcPr>
            <w:tcW w:w="453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図書館来館者数</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69,576</w:t>
            </w:r>
            <w:r>
              <w:rPr>
                <w:rFonts w:hint="eastAsia" w:ascii="ＭＳ 明朝" w:hAnsi="ＭＳ 明朝"/>
                <w:color w:val="auto"/>
                <w:sz w:val="22"/>
                <w:highlight w:val="none"/>
              </w:rPr>
              <w:t>人</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rPr>
              <w:t>54,159</w:t>
            </w:r>
            <w:r>
              <w:rPr>
                <w:rFonts w:hint="eastAsia" w:ascii="ＭＳ 明朝" w:hAnsi="ＭＳ 明朝"/>
                <w:color w:val="auto"/>
                <w:sz w:val="22"/>
                <w:highlight w:val="none"/>
              </w:rPr>
              <w:t>人</w:t>
            </w:r>
          </w:p>
        </w:tc>
        <w:tc>
          <w:tcPr>
            <w:tcW w:w="1387"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73,000</w:t>
            </w:r>
            <w:r>
              <w:rPr>
                <w:rFonts w:hint="eastAsia" w:ascii="ＭＳ 明朝" w:hAnsi="ＭＳ 明朝"/>
                <w:color w:val="auto"/>
                <w:sz w:val="22"/>
                <w:highlight w:val="none"/>
              </w:rPr>
              <w:t>人</w:t>
            </w:r>
          </w:p>
        </w:tc>
      </w:tr>
    </w:tbl>
    <w:p>
      <w:pPr>
        <w:pStyle w:val="0"/>
        <w:rPr>
          <w:rFonts w:hint="default" w:ascii="ＭＳ 明朝" w:hAnsi="ＭＳ 明朝"/>
          <w:b w:val="1"/>
          <w:color w:val="auto"/>
          <w:highlight w:val="none"/>
        </w:rPr>
      </w:pPr>
    </w:p>
    <w:p>
      <w:pPr>
        <w:pStyle w:val="0"/>
        <w:rPr>
          <w:rFonts w:hint="default" w:ascii="ＭＳ 明朝" w:hAnsi="ＭＳ 明朝"/>
          <w:b w:val="1"/>
          <w:color w:val="auto"/>
          <w:highlight w:val="none"/>
        </w:rPr>
      </w:pPr>
    </w:p>
    <w:p>
      <w:pPr>
        <w:pStyle w:val="0"/>
        <w:rPr>
          <w:rFonts w:hint="default" w:ascii="ＭＳ 明朝" w:hAnsi="ＭＳ 明朝"/>
          <w:b w:val="1"/>
          <w:color w:val="auto"/>
          <w:highlight w:val="none"/>
        </w:rPr>
      </w:pPr>
    </w:p>
    <w:p>
      <w:pPr>
        <w:pStyle w:val="0"/>
        <w:rPr>
          <w:rFonts w:hint="default" w:ascii="ＭＳ 明朝" w:hAnsi="ＭＳ 明朝"/>
          <w:b w:val="1"/>
          <w:color w:val="auto"/>
          <w:highlight w:val="none"/>
        </w:rPr>
      </w:pPr>
      <w:r>
        <w:rPr>
          <w:rFonts w:hint="eastAsia" w:ascii="ＭＳ 明朝" w:hAnsi="ＭＳ 明朝"/>
          <w:b w:val="1"/>
          <w:color w:val="auto"/>
          <w:highlight w:val="none"/>
        </w:rPr>
        <w:t>第３章　芸術・文化の振興</w:t>
      </w:r>
    </w:p>
    <w:p>
      <w:pPr>
        <w:pStyle w:val="0"/>
        <w:rPr>
          <w:rFonts w:hint="default" w:ascii="ＭＳ 明朝" w:hAnsi="ＭＳ 明朝"/>
          <w:b w:val="1"/>
          <w:color w:val="auto"/>
          <w:sz w:val="22"/>
          <w:highlight w:val="none"/>
        </w:rPr>
      </w:pPr>
      <w:r>
        <w:rPr>
          <w:rFonts w:hint="default" w:ascii="ＭＳ 明朝" w:hAnsi="ＭＳ 明朝"/>
          <w:b w:val="1"/>
          <w:color w:val="auto"/>
          <w:highlight w:val="none"/>
        </w:rPr>
        <w:t>➊</w:t>
      </w:r>
      <w:r>
        <w:rPr>
          <w:rFonts w:hint="eastAsia" w:ascii="ＭＳ 明朝" w:hAnsi="ＭＳ 明朝"/>
          <w:b w:val="1"/>
          <w:color w:val="auto"/>
          <w:highlight w:val="none"/>
        </w:rPr>
        <w:t>　芸術・文化活動の活性化</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【事務・事業の概要】</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１　目的及び効果</w:t>
      </w:r>
    </w:p>
    <w:p>
      <w:pPr>
        <w:pStyle w:val="0"/>
        <w:ind w:left="220" w:hanging="220" w:hangingChars="100"/>
        <w:jc w:val="left"/>
        <w:rPr>
          <w:rFonts w:hint="default" w:ascii="ＭＳ 明朝" w:hAnsi="ＭＳ 明朝"/>
          <w:color w:val="auto"/>
          <w:sz w:val="22"/>
          <w:highlight w:val="none"/>
        </w:rPr>
      </w:pPr>
      <w:r>
        <w:rPr>
          <w:rFonts w:hint="eastAsia" w:ascii="ＭＳ 明朝" w:hAnsi="ＭＳ 明朝"/>
          <w:color w:val="auto"/>
          <w:sz w:val="22"/>
          <w:highlight w:val="none"/>
        </w:rPr>
        <w:t>　　心の豊かさと文化的なうるおいのある地域社会づくりのため、町民の文化芸術に対する関心を高め、文化芸術にふれあう機会を提供し、文化芸術の振興を図る。</w:t>
      </w:r>
    </w:p>
    <w:p>
      <w:pPr>
        <w:pStyle w:val="0"/>
        <w:rPr>
          <w:rFonts w:hint="default" w:ascii="ＭＳ 明朝" w:hAnsi="ＭＳ 明朝"/>
          <w:color w:val="auto"/>
          <w:sz w:val="22"/>
          <w:highlight w:val="none"/>
        </w:rPr>
      </w:pPr>
      <w:r>
        <w:rPr>
          <w:rFonts w:hint="eastAsia" w:ascii="ＭＳ 明朝" w:hAnsi="ＭＳ 明朝"/>
          <w:b w:val="1"/>
          <w:color w:val="auto"/>
          <w:sz w:val="22"/>
          <w:highlight w:val="none"/>
        </w:rPr>
        <w:t>２　事業主体</w:t>
      </w:r>
    </w:p>
    <w:p>
      <w:pPr>
        <w:pStyle w:val="0"/>
        <w:rPr>
          <w:rFonts w:hint="default" w:ascii="ＭＳ 明朝" w:hAnsi="ＭＳ 明朝"/>
          <w:color w:val="auto"/>
          <w:sz w:val="22"/>
          <w:highlight w:val="none"/>
        </w:rPr>
      </w:pPr>
      <w:r>
        <w:rPr>
          <w:rFonts w:hint="eastAsia" w:ascii="ＭＳ 明朝" w:hAnsi="ＭＳ 明朝"/>
          <w:color w:val="auto"/>
          <w:sz w:val="22"/>
          <w:highlight w:val="none"/>
        </w:rPr>
        <w:t>　　生涯学習課</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３　事業内容及び状況</w:t>
      </w:r>
    </w:p>
    <w:p>
      <w:pPr>
        <w:pStyle w:val="21"/>
        <w:numPr>
          <w:ilvl w:val="0"/>
          <w:numId w:val="2"/>
        </w:numPr>
        <w:ind w:left="709" w:leftChars="0" w:hanging="709"/>
        <w:rPr>
          <w:rFonts w:hint="default" w:ascii="ＭＳ 明朝" w:hAnsi="ＭＳ 明朝"/>
          <w:color w:val="auto"/>
          <w:sz w:val="22"/>
          <w:highlight w:val="none"/>
        </w:rPr>
      </w:pPr>
      <w:r>
        <w:rPr>
          <w:rFonts w:hint="eastAsia" w:ascii="ＭＳ 明朝" w:hAnsi="ＭＳ 明朝"/>
          <w:color w:val="auto"/>
          <w:sz w:val="22"/>
          <w:highlight w:val="none"/>
        </w:rPr>
        <w:t>第６１回上三川町文化祭</w:t>
      </w:r>
    </w:p>
    <w:p>
      <w:pPr>
        <w:pStyle w:val="21"/>
        <w:ind w:left="480" w:leftChars="200" w:firstLine="220" w:firstLineChars="100"/>
        <w:rPr>
          <w:rFonts w:hint="default" w:ascii="ＭＳ 明朝" w:hAnsi="ＭＳ 明朝"/>
          <w:color w:val="auto"/>
          <w:sz w:val="22"/>
          <w:highlight w:val="none"/>
        </w:rPr>
      </w:pPr>
      <w:r>
        <w:rPr>
          <w:rFonts w:hint="eastAsia" w:ascii="ＭＳ 明朝" w:hAnsi="ＭＳ 明朝"/>
          <w:color w:val="auto"/>
          <w:sz w:val="22"/>
          <w:highlight w:val="none"/>
        </w:rPr>
        <w:t>日頃の文化芸術活動の発表の場として、新たに</w:t>
      </w:r>
      <w:r>
        <w:rPr>
          <w:rFonts w:hint="eastAsia" w:ascii="ＭＳ 明朝" w:hAnsi="ＭＳ 明朝"/>
          <w:color w:val="auto"/>
          <w:sz w:val="22"/>
          <w:highlight w:val="none"/>
        </w:rPr>
        <w:t>ORIGAMI</w:t>
      </w:r>
      <w:r>
        <w:rPr>
          <w:rFonts w:hint="eastAsia" w:ascii="ＭＳ 明朝" w:hAnsi="ＭＳ 明朝"/>
          <w:color w:val="auto"/>
          <w:sz w:val="22"/>
          <w:highlight w:val="none"/>
        </w:rPr>
        <w:t>プラザ及びいきいきプラザ</w:t>
      </w:r>
      <w:r>
        <w:rPr>
          <w:rFonts w:hint="eastAsia"/>
          <w:color w:val="auto"/>
          <w:sz w:val="22"/>
          <w:highlight w:val="none"/>
        </w:rPr>
        <w:t>を会場に実施した。延べ参加者：</w:t>
      </w:r>
      <w:r>
        <w:rPr>
          <w:rFonts w:hint="eastAsia"/>
          <w:color w:val="auto"/>
          <w:sz w:val="22"/>
        </w:rPr>
        <w:t>４</w:t>
      </w:r>
      <w:r>
        <w:rPr>
          <w:rFonts w:hint="eastAsia"/>
          <w:color w:val="auto"/>
          <w:sz w:val="22"/>
        </w:rPr>
        <w:t>,</w:t>
      </w:r>
      <w:r>
        <w:rPr>
          <w:rFonts w:hint="eastAsia"/>
          <w:color w:val="auto"/>
          <w:sz w:val="22"/>
        </w:rPr>
        <w:t>４９８</w:t>
      </w:r>
      <w:r>
        <w:rPr>
          <w:rFonts w:hint="eastAsia"/>
          <w:color w:val="auto"/>
          <w:sz w:val="22"/>
          <w:highlight w:val="none"/>
        </w:rPr>
        <w:t>名</w:t>
      </w:r>
    </w:p>
    <w:p>
      <w:pPr>
        <w:pStyle w:val="0"/>
        <w:rPr>
          <w:rFonts w:hint="default" w:ascii="ＭＳ 明朝" w:hAnsi="ＭＳ 明朝"/>
          <w:color w:val="auto"/>
          <w:sz w:val="22"/>
          <w:highlight w:val="none"/>
        </w:rPr>
      </w:pPr>
      <w:r>
        <w:rPr>
          <w:rFonts w:hint="eastAsia" w:ascii="ＭＳ 明朝" w:hAnsi="ＭＳ 明朝"/>
          <w:color w:val="auto"/>
          <w:sz w:val="22"/>
          <w:highlight w:val="none"/>
        </w:rPr>
        <w:t>（２）第５回かみのかわ</w:t>
      </w:r>
      <w:r>
        <w:rPr>
          <w:rFonts w:hint="eastAsia" w:ascii="ＭＳ 明朝" w:hAnsi="ＭＳ 明朝"/>
          <w:color w:val="auto"/>
          <w:sz w:val="22"/>
          <w:highlight w:val="none"/>
        </w:rPr>
        <w:t>ORIGAMI</w:t>
      </w:r>
      <w:r>
        <w:rPr>
          <w:rFonts w:hint="eastAsia" w:ascii="ＭＳ 明朝" w:hAnsi="ＭＳ 明朝"/>
          <w:color w:val="auto"/>
          <w:sz w:val="22"/>
          <w:highlight w:val="none"/>
        </w:rPr>
        <w:t>フェスティバル</w:t>
      </w:r>
    </w:p>
    <w:p>
      <w:pPr>
        <w:pStyle w:val="0"/>
        <w:ind w:left="480" w:leftChars="200" w:firstLine="220" w:firstLineChars="100"/>
        <w:rPr>
          <w:rFonts w:hint="default" w:ascii="ＭＳ 明朝" w:hAnsi="ＭＳ 明朝"/>
          <w:color w:val="auto"/>
          <w:sz w:val="22"/>
          <w:highlight w:val="none"/>
        </w:rPr>
      </w:pPr>
      <w:r>
        <w:rPr>
          <w:rFonts w:hint="eastAsia" w:ascii="ＭＳ 明朝" w:hAnsi="ＭＳ 明朝"/>
          <w:color w:val="auto"/>
          <w:sz w:val="22"/>
          <w:highlight w:val="none"/>
        </w:rPr>
        <w:t>「</w:t>
      </w:r>
      <w:r>
        <w:rPr>
          <w:rFonts w:hint="eastAsia" w:ascii="ＭＳ 明朝" w:hAnsi="ＭＳ 明朝"/>
          <w:color w:val="auto"/>
          <w:sz w:val="22"/>
          <w:highlight w:val="none"/>
        </w:rPr>
        <w:t>ORIGAMI</w:t>
      </w:r>
      <w:r>
        <w:rPr>
          <w:rFonts w:hint="eastAsia" w:ascii="ＭＳ 明朝" w:hAnsi="ＭＳ 明朝"/>
          <w:color w:val="auto"/>
          <w:sz w:val="22"/>
          <w:highlight w:val="none"/>
        </w:rPr>
        <w:t>のまち　かみのかわ」の周知啓発として</w:t>
      </w:r>
      <w:r>
        <w:rPr>
          <w:rFonts w:hint="eastAsia" w:ascii="ＭＳ 明朝" w:hAnsi="ＭＳ 明朝"/>
          <w:color w:val="auto"/>
          <w:sz w:val="22"/>
          <w:highlight w:val="none"/>
        </w:rPr>
        <w:t>ORIGAMI</w:t>
      </w:r>
      <w:r>
        <w:rPr>
          <w:rFonts w:hint="eastAsia" w:ascii="ＭＳ 明朝" w:hAnsi="ＭＳ 明朝"/>
          <w:color w:val="auto"/>
          <w:sz w:val="22"/>
          <w:highlight w:val="none"/>
        </w:rPr>
        <w:t>フェスティバルを</w:t>
      </w:r>
      <w:r>
        <w:rPr>
          <w:rFonts w:hint="eastAsia" w:ascii="ＭＳ 明朝" w:hAnsi="ＭＳ 明朝"/>
          <w:color w:val="auto"/>
          <w:sz w:val="22"/>
          <w:highlight w:val="none"/>
        </w:rPr>
        <w:t>ORIGAMI</w:t>
      </w:r>
      <w:r>
        <w:rPr>
          <w:rFonts w:hint="eastAsia" w:ascii="ＭＳ 明朝" w:hAnsi="ＭＳ 明朝"/>
          <w:color w:val="auto"/>
          <w:sz w:val="22"/>
          <w:highlight w:val="none"/>
        </w:rPr>
        <w:t>プラザ及び</w:t>
      </w:r>
      <w:r>
        <w:rPr>
          <w:rFonts w:hint="eastAsia" w:ascii="ＭＳ 明朝" w:hAnsi="ＭＳ 明朝"/>
          <w:color w:val="auto"/>
          <w:sz w:val="22"/>
        </w:rPr>
        <w:t>いきいきプラザ、</w:t>
      </w:r>
      <w:r>
        <w:rPr>
          <w:rFonts w:hint="eastAsia" w:ascii="ＭＳ 明朝" w:hAnsi="ＭＳ 明朝"/>
          <w:color w:val="auto"/>
          <w:sz w:val="22"/>
          <w:highlight w:val="none"/>
        </w:rPr>
        <w:t>国登録有形文化財生沼家住宅で実施した。延べ参加者：</w:t>
      </w:r>
      <w:r>
        <w:rPr>
          <w:rFonts w:hint="eastAsia" w:ascii="ＭＳ 明朝" w:hAnsi="ＭＳ 明朝"/>
          <w:color w:val="auto"/>
          <w:sz w:val="22"/>
        </w:rPr>
        <w:t>７</w:t>
      </w:r>
      <w:r>
        <w:rPr>
          <w:rFonts w:hint="eastAsia" w:ascii="ＭＳ 明朝" w:hAnsi="ＭＳ 明朝"/>
          <w:color w:val="auto"/>
          <w:sz w:val="22"/>
        </w:rPr>
        <w:t>,</w:t>
      </w:r>
      <w:r>
        <w:rPr>
          <w:rFonts w:hint="eastAsia" w:ascii="ＭＳ 明朝" w:hAnsi="ＭＳ 明朝"/>
          <w:color w:val="auto"/>
          <w:sz w:val="22"/>
        </w:rPr>
        <w:t>１０９</w:t>
      </w:r>
      <w:r>
        <w:rPr>
          <w:rFonts w:hint="eastAsia" w:ascii="ＭＳ 明朝" w:hAnsi="ＭＳ 明朝"/>
          <w:color w:val="auto"/>
          <w:sz w:val="22"/>
          <w:highlight w:val="none"/>
        </w:rPr>
        <w:t>名</w:t>
      </w:r>
    </w:p>
    <w:p>
      <w:pPr>
        <w:pStyle w:val="0"/>
        <w:rPr>
          <w:rFonts w:hint="default" w:ascii="ＭＳ 明朝" w:hAnsi="ＭＳ 明朝"/>
          <w:color w:val="auto"/>
          <w:sz w:val="22"/>
          <w:highlight w:val="none"/>
        </w:rPr>
      </w:pPr>
      <w:r>
        <w:rPr>
          <w:rFonts w:hint="eastAsia" w:ascii="ＭＳ 明朝" w:hAnsi="ＭＳ 明朝"/>
          <w:color w:val="auto"/>
          <w:sz w:val="22"/>
          <w:highlight w:val="none"/>
        </w:rPr>
        <w:t>（３）文化団体の育成</w:t>
      </w:r>
    </w:p>
    <w:p>
      <w:pPr>
        <w:pStyle w:val="0"/>
        <w:ind w:left="480" w:leftChars="200" w:firstLine="220" w:firstLineChars="100"/>
        <w:rPr>
          <w:rFonts w:hint="default" w:ascii="ＭＳ 明朝" w:hAnsi="ＭＳ 明朝"/>
          <w:color w:val="auto"/>
          <w:sz w:val="22"/>
          <w:highlight w:val="none"/>
        </w:rPr>
      </w:pPr>
      <w:r>
        <w:rPr>
          <w:rFonts w:hint="eastAsia" w:ascii="ＭＳ 明朝" w:hAnsi="ＭＳ 明朝"/>
          <w:color w:val="auto"/>
          <w:sz w:val="22"/>
          <w:highlight w:val="none"/>
        </w:rPr>
        <w:t>上三川町文化協会の運営を支援し、</w:t>
      </w:r>
      <w:r>
        <w:rPr>
          <w:rFonts w:hint="eastAsia" w:ascii="ＭＳ 明朝" w:hAnsi="ＭＳ 明朝"/>
          <w:color w:val="auto"/>
          <w:sz w:val="22"/>
        </w:rPr>
        <w:t>交流</w:t>
      </w:r>
      <w:r>
        <w:rPr>
          <w:rFonts w:hint="eastAsia" w:ascii="ＭＳ 明朝" w:hAnsi="ＭＳ 明朝"/>
          <w:color w:val="auto"/>
          <w:sz w:val="22"/>
          <w:highlight w:val="none"/>
        </w:rPr>
        <w:t>研修会及び芸術文化公演会の開催、会報発行等を実施したほか、小中学生へ日本の伝統文化の大切さを伝えるために華道・茶道・絵手紙・箏曲の</w:t>
      </w:r>
      <w:r>
        <w:rPr>
          <w:rFonts w:hint="eastAsia" w:ascii="ＭＳ 明朝" w:hAnsi="ＭＳ 明朝"/>
          <w:color w:val="auto"/>
          <w:sz w:val="22"/>
        </w:rPr>
        <w:t>文化体験教室</w:t>
      </w:r>
      <w:r>
        <w:rPr>
          <w:rFonts w:hint="eastAsia" w:ascii="ＭＳ 明朝" w:hAnsi="ＭＳ 明朝"/>
          <w:color w:val="auto"/>
          <w:sz w:val="22"/>
          <w:highlight w:val="none"/>
        </w:rPr>
        <w:t>を１０校計１０回実施した。</w:t>
      </w:r>
    </w:p>
    <w:p>
      <w:pPr>
        <w:pStyle w:val="0"/>
        <w:ind w:left="660" w:hanging="660" w:hangingChars="300"/>
        <w:rPr>
          <w:rFonts w:hint="default" w:ascii="ＭＳ 明朝" w:hAnsi="ＭＳ 明朝"/>
          <w:color w:val="auto"/>
          <w:sz w:val="22"/>
          <w:highlight w:val="none"/>
        </w:rPr>
      </w:pPr>
      <w:r>
        <w:rPr>
          <w:rFonts w:hint="eastAsia" w:ascii="ＭＳ 明朝" w:hAnsi="ＭＳ 明朝"/>
          <w:color w:val="auto"/>
          <w:sz w:val="22"/>
          <w:highlight w:val="none"/>
        </w:rPr>
        <w:t>（４）移動音楽鑑賞教室</w:t>
      </w:r>
    </w:p>
    <w:p>
      <w:pPr>
        <w:pStyle w:val="0"/>
        <w:ind w:left="480" w:leftChars="200" w:firstLine="220" w:firstLineChars="100"/>
        <w:jc w:val="left"/>
        <w:rPr>
          <w:rFonts w:hint="default" w:ascii="ＭＳ 明朝" w:hAnsi="ＭＳ 明朝"/>
          <w:color w:val="auto"/>
          <w:sz w:val="22"/>
          <w:highlight w:val="none"/>
        </w:rPr>
      </w:pPr>
      <w:r>
        <w:rPr>
          <w:rFonts w:hint="eastAsia" w:ascii="ＭＳ 明朝" w:hAnsi="ＭＳ 明朝"/>
          <w:color w:val="auto"/>
          <w:sz w:val="22"/>
        </w:rPr>
        <w:t>上三川小学校、北小学校、坂上小学校を対象に、公益財団法人日本青少年文化センターによる「</w:t>
      </w:r>
      <w:r>
        <w:rPr>
          <w:rFonts w:hint="eastAsia"/>
          <w:color w:val="auto"/>
          <w:sz w:val="22"/>
        </w:rPr>
        <w:t>馬頭琴（ばとうきん）と揚琴（やんちん）コンサート</w:t>
      </w:r>
      <w:r>
        <w:rPr>
          <w:rFonts w:hint="eastAsia" w:ascii="ＭＳ 明朝" w:hAnsi="ＭＳ 明朝"/>
          <w:color w:val="auto"/>
          <w:sz w:val="22"/>
        </w:rPr>
        <w:t>」鑑賞教室を実施し</w:t>
      </w:r>
      <w:r>
        <w:rPr>
          <w:rFonts w:hint="eastAsia"/>
          <w:color w:val="auto"/>
          <w:sz w:val="22"/>
        </w:rPr>
        <w:t>た</w:t>
      </w:r>
      <w:r>
        <w:rPr>
          <w:rFonts w:hint="eastAsia"/>
          <w:color w:val="auto"/>
          <w:sz w:val="22"/>
          <w:highlight w:val="none"/>
        </w:rPr>
        <w:t>。</w:t>
      </w:r>
    </w:p>
    <w:p>
      <w:pPr>
        <w:pStyle w:val="0"/>
        <w:ind w:left="660" w:hanging="660" w:hangingChars="300"/>
        <w:rPr>
          <w:rFonts w:hint="default" w:ascii="ＭＳ 明朝" w:hAnsi="ＭＳ 明朝"/>
          <w:color w:val="auto"/>
          <w:sz w:val="22"/>
          <w:highlight w:val="none"/>
        </w:rPr>
      </w:pPr>
      <w:r>
        <w:rPr>
          <w:rFonts w:hint="eastAsia" w:ascii="ＭＳ 明朝" w:hAnsi="ＭＳ 明朝"/>
          <w:color w:val="auto"/>
          <w:sz w:val="22"/>
          <w:highlight w:val="none"/>
        </w:rPr>
        <w:t>（５）伝統芸能教室</w:t>
      </w:r>
    </w:p>
    <w:p>
      <w:pPr>
        <w:pStyle w:val="0"/>
        <w:ind w:left="480" w:leftChars="200" w:firstLine="220" w:firstLineChars="100"/>
        <w:rPr>
          <w:rFonts w:hint="default"/>
          <w:color w:val="auto"/>
          <w:sz w:val="22"/>
          <w:highlight w:val="none"/>
        </w:rPr>
      </w:pPr>
      <w:r>
        <w:rPr>
          <w:rFonts w:hint="eastAsia" w:ascii="ＭＳ 明朝" w:hAnsi="ＭＳ 明朝"/>
          <w:color w:val="auto"/>
          <w:sz w:val="22"/>
        </w:rPr>
        <w:t>明治小学校、明治南小学校を対象に、財団法人日本教育演劇道場劇団らくりん座による「ゆきと鬼んべ｣鑑賞教室を実施</w:t>
      </w:r>
      <w:r>
        <w:rPr>
          <w:rFonts w:hint="eastAsia"/>
          <w:color w:val="auto"/>
          <w:sz w:val="22"/>
        </w:rPr>
        <w:t>した</w:t>
      </w:r>
      <w:r>
        <w:rPr>
          <w:rFonts w:hint="eastAsia"/>
          <w:color w:val="auto"/>
          <w:sz w:val="22"/>
          <w:highlight w:val="none"/>
        </w:rPr>
        <w:t>。</w:t>
      </w:r>
    </w:p>
    <w:p>
      <w:pPr>
        <w:pStyle w:val="0"/>
        <w:rPr>
          <w:rFonts w:hint="default" w:ascii="ＭＳ 明朝" w:hAnsi="ＭＳ 明朝"/>
          <w:color w:val="auto"/>
          <w:sz w:val="22"/>
          <w:highlight w:val="none"/>
        </w:rPr>
      </w:pPr>
      <w:r>
        <w:rPr>
          <w:rFonts w:hint="eastAsia" w:ascii="ＭＳ 明朝" w:hAnsi="ＭＳ 明朝"/>
          <w:color w:val="auto"/>
          <w:sz w:val="22"/>
          <w:highlight w:val="none"/>
        </w:rPr>
        <w:t>（６）</w:t>
      </w:r>
      <w:r>
        <w:rPr>
          <w:rFonts w:hint="eastAsia" w:ascii="ＭＳ 明朝" w:hAnsi="ＭＳ 明朝"/>
          <w:color w:val="auto"/>
          <w:sz w:val="22"/>
          <w:highlight w:val="none"/>
        </w:rPr>
        <w:t>ORIGAMI</w:t>
      </w:r>
      <w:r>
        <w:rPr>
          <w:rFonts w:hint="eastAsia" w:ascii="ＭＳ 明朝" w:hAnsi="ＭＳ 明朝"/>
          <w:color w:val="auto"/>
          <w:sz w:val="22"/>
          <w:highlight w:val="none"/>
        </w:rPr>
        <w:t>普及指導員学校派遣事業</w:t>
      </w:r>
    </w:p>
    <w:p>
      <w:pPr>
        <w:pStyle w:val="0"/>
        <w:ind w:left="480" w:leftChars="200" w:firstLine="220" w:firstLineChars="100"/>
        <w:rPr>
          <w:rFonts w:hint="default"/>
          <w:color w:val="auto"/>
          <w:sz w:val="22"/>
          <w:highlight w:val="none"/>
        </w:rPr>
      </w:pPr>
      <w:r>
        <w:rPr>
          <w:rFonts w:hint="eastAsia" w:ascii="ＭＳ 明朝" w:hAnsi="ＭＳ 明朝"/>
          <w:color w:val="auto"/>
          <w:sz w:val="22"/>
          <w:highlight w:val="none"/>
        </w:rPr>
        <w:t>小中学校を対象に、生涯学習センター主催の</w:t>
      </w:r>
      <w:r>
        <w:rPr>
          <w:rFonts w:hint="eastAsia" w:ascii="ＭＳ 明朝" w:hAnsi="ＭＳ 明朝"/>
          <w:color w:val="auto"/>
          <w:sz w:val="22"/>
          <w:highlight w:val="none"/>
        </w:rPr>
        <w:t>ORIGAMI</w:t>
      </w:r>
      <w:r>
        <w:rPr>
          <w:rFonts w:hint="eastAsia" w:ascii="ＭＳ 明朝" w:hAnsi="ＭＳ 明朝"/>
          <w:color w:val="auto"/>
          <w:sz w:val="22"/>
          <w:highlight w:val="none"/>
        </w:rPr>
        <w:t>普及指導員養成講座を修了した受講生を学校へ派遣し、吉澤章氏の創作折り紙を伝える授業を９校で実施した。</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【決算額】</w:t>
      </w:r>
    </w:p>
    <w:p>
      <w:pPr>
        <w:pStyle w:val="0"/>
        <w:ind w:firstLine="440" w:firstLineChars="200"/>
        <w:rPr>
          <w:rFonts w:hint="default" w:ascii="ＭＳ 明朝" w:hAnsi="ＭＳ 明朝"/>
          <w:color w:val="auto"/>
          <w:sz w:val="22"/>
          <w:highlight w:val="none"/>
        </w:rPr>
      </w:pPr>
      <w:r>
        <w:rPr>
          <w:rFonts w:hint="eastAsia" w:ascii="ＭＳ 明朝" w:hAnsi="ＭＳ 明朝"/>
          <w:color w:val="auto"/>
          <w:sz w:val="22"/>
          <w:highlight w:val="none"/>
        </w:rPr>
        <w:t>第１０款　教育費　第４項　社会教育費　６目　文化振興費　４</w:t>
      </w:r>
      <w:r>
        <w:rPr>
          <w:rFonts w:hint="eastAsia" w:ascii="ＭＳ 明朝" w:hAnsi="ＭＳ 明朝"/>
          <w:color w:val="auto"/>
          <w:sz w:val="22"/>
          <w:highlight w:val="none"/>
        </w:rPr>
        <w:t>,</w:t>
      </w:r>
      <w:r>
        <w:rPr>
          <w:rFonts w:hint="eastAsia" w:ascii="ＭＳ 明朝" w:hAnsi="ＭＳ 明朝"/>
          <w:color w:val="auto"/>
          <w:sz w:val="22"/>
          <w:highlight w:val="none"/>
        </w:rPr>
        <w:t>７９４千円</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【事業評価（自己評価）】</w:t>
      </w:r>
    </w:p>
    <w:p>
      <w:pPr>
        <w:pStyle w:val="0"/>
        <w:ind w:left="180" w:firstLine="180"/>
        <w:rPr>
          <w:rFonts w:hint="default" w:ascii="ＭＳ 明朝" w:hAnsi="ＭＳ 明朝"/>
          <w:color w:val="auto"/>
          <w:sz w:val="22"/>
        </w:rPr>
      </w:pPr>
      <w:r>
        <w:rPr>
          <w:rFonts w:hint="eastAsia" w:ascii="ＭＳ 明朝" w:hAnsi="ＭＳ 明朝"/>
          <w:color w:val="auto"/>
          <w:sz w:val="22"/>
        </w:rPr>
        <w:t>文化祭は、当初計画した事業を概ね実施することができた。ただし、参加者の顔ぶれに変わりがなく、高齢化等により継続性に課題があるため、新規参加者の確保等を図っていく。</w:t>
      </w:r>
    </w:p>
    <w:p>
      <w:pPr>
        <w:pStyle w:val="0"/>
        <w:ind w:left="180" w:firstLine="180"/>
        <w:rPr>
          <w:rFonts w:hint="default" w:ascii="ＭＳ 明朝" w:hAnsi="ＭＳ 明朝"/>
          <w:color w:val="auto"/>
          <w:sz w:val="22"/>
        </w:rPr>
      </w:pPr>
      <w:r>
        <w:rPr>
          <w:rFonts w:hint="eastAsia" w:ascii="ＭＳ 明朝" w:hAnsi="ＭＳ 明朝"/>
          <w:color w:val="auto"/>
          <w:sz w:val="22"/>
        </w:rPr>
        <w:t>全体として、各種芸術・文化団体それぞれの主体的な活動を更に促進するとともに、芸術・文化の鑑賞機会の確保や発表機会・内容の充実、児童生徒たちが文化に触れる機会の確保などに向けた支援を図っていく。</w:t>
      </w:r>
    </w:p>
    <w:p>
      <w:pPr>
        <w:pStyle w:val="0"/>
        <w:ind w:left="180" w:leftChars="0" w:firstLine="220" w:firstLineChars="100"/>
        <w:rPr>
          <w:rFonts w:hint="default" w:ascii="ＭＳ 明朝" w:hAnsi="ＭＳ 明朝"/>
          <w:color w:val="auto"/>
          <w:sz w:val="22"/>
        </w:rPr>
      </w:pPr>
      <w:r>
        <w:rPr>
          <w:rFonts w:hint="eastAsia" w:ascii="ＭＳ 明朝" w:hAnsi="ＭＳ 明朝"/>
          <w:color w:val="auto"/>
          <w:sz w:val="22"/>
        </w:rPr>
        <w:t>第５回となる</w:t>
      </w:r>
      <w:r>
        <w:rPr>
          <w:rFonts w:hint="eastAsia" w:ascii="ＭＳ 明朝" w:hAnsi="ＭＳ 明朝"/>
          <w:color w:val="auto"/>
          <w:sz w:val="22"/>
        </w:rPr>
        <w:t>ORIGAMI</w:t>
      </w:r>
      <w:r>
        <w:rPr>
          <w:rFonts w:hint="eastAsia" w:ascii="ＭＳ 明朝" w:hAnsi="ＭＳ 明朝"/>
          <w:color w:val="auto"/>
          <w:sz w:val="22"/>
        </w:rPr>
        <w:t>フェスティバルでは、公募による</w:t>
      </w:r>
      <w:r>
        <w:rPr>
          <w:rFonts w:hint="eastAsia" w:ascii="ＭＳ 明朝" w:hAnsi="ＭＳ 明朝"/>
          <w:color w:val="auto"/>
          <w:sz w:val="22"/>
        </w:rPr>
        <w:t>ORIGAMI</w:t>
      </w:r>
      <w:r>
        <w:rPr>
          <w:rFonts w:hint="eastAsia" w:ascii="ＭＳ 明朝" w:hAnsi="ＭＳ 明朝"/>
          <w:color w:val="auto"/>
          <w:sz w:val="22"/>
        </w:rPr>
        <w:t>作品展、創作</w:t>
      </w:r>
      <w:r>
        <w:rPr>
          <w:rFonts w:hint="eastAsia" w:ascii="ＭＳ 明朝" w:hAnsi="ＭＳ 明朝"/>
          <w:color w:val="auto"/>
          <w:sz w:val="22"/>
        </w:rPr>
        <w:t>ORIGAMI</w:t>
      </w:r>
      <w:r>
        <w:rPr>
          <w:rFonts w:hint="eastAsia" w:ascii="ＭＳ 明朝" w:hAnsi="ＭＳ 明朝"/>
          <w:color w:val="auto"/>
          <w:sz w:val="22"/>
        </w:rPr>
        <w:t>ワークショップに加え、新たな試みとして</w:t>
      </w:r>
      <w:r>
        <w:rPr>
          <w:rFonts w:hint="eastAsia" w:ascii="ＭＳ 明朝" w:hAnsi="ＭＳ 明朝"/>
          <w:color w:val="auto"/>
          <w:sz w:val="22"/>
        </w:rPr>
        <w:t>ORIGAMI</w:t>
      </w:r>
      <w:r>
        <w:rPr>
          <w:rFonts w:hint="eastAsia" w:ascii="ＭＳ 明朝" w:hAnsi="ＭＳ 明朝"/>
          <w:color w:val="auto"/>
          <w:sz w:val="22"/>
        </w:rPr>
        <w:t>講演会を開催し、県内外から多くの方々に来場いただいた。また、町政７０周年記念イベントとして町民参加型の紙飛行機コンテストを実施した。今後も継続して“</w:t>
      </w:r>
      <w:r>
        <w:rPr>
          <w:rFonts w:hint="eastAsia" w:ascii="ＭＳ 明朝" w:hAnsi="ＭＳ 明朝"/>
          <w:color w:val="auto"/>
          <w:sz w:val="22"/>
        </w:rPr>
        <w:t>ORIGAMI</w:t>
      </w:r>
      <w:r>
        <w:rPr>
          <w:rFonts w:hint="eastAsia" w:ascii="ＭＳ 明朝" w:hAnsi="ＭＳ 明朝"/>
          <w:color w:val="auto"/>
          <w:sz w:val="22"/>
        </w:rPr>
        <w:t>のまち　かみのかわ”らしいイベントとして魅力を発信していきたい。</w:t>
      </w:r>
    </w:p>
    <w:p>
      <w:pPr>
        <w:pStyle w:val="0"/>
        <w:ind w:left="180" w:firstLine="180"/>
        <w:rPr>
          <w:rFonts w:hint="default" w:ascii="ＭＳ 明朝" w:hAnsi="ＭＳ 明朝"/>
          <w:color w:val="auto"/>
          <w:sz w:val="22"/>
          <w:highlight w:val="none"/>
        </w:rPr>
      </w:pPr>
      <w:r>
        <w:rPr>
          <w:rFonts w:hint="eastAsia" w:ascii="ＭＳ 明朝" w:hAnsi="ＭＳ 明朝"/>
          <w:color w:val="auto"/>
          <w:sz w:val="22"/>
        </w:rPr>
        <w:t>また、今年度より折り紙文化の普及を目的に、小学校</w:t>
      </w:r>
      <w:r>
        <w:rPr>
          <w:rFonts w:hint="eastAsia" w:ascii="ＭＳ 明朝" w:hAnsi="ＭＳ 明朝"/>
          <w:color w:val="auto"/>
          <w:sz w:val="22"/>
        </w:rPr>
        <w:t>1</w:t>
      </w:r>
      <w:r>
        <w:rPr>
          <w:rFonts w:hint="eastAsia" w:ascii="ＭＳ 明朝" w:hAnsi="ＭＳ 明朝"/>
          <w:color w:val="auto"/>
          <w:sz w:val="22"/>
        </w:rPr>
        <w:t>学年児童を対象に折り紙ボックスの配布を開始した。</w:t>
      </w:r>
    </w:p>
    <w:p>
      <w:pPr>
        <w:pStyle w:val="0"/>
        <w:rPr>
          <w:rFonts w:hint="default" w:ascii="ＭＳ 明朝" w:hAnsi="ＭＳ 明朝"/>
          <w:color w:val="auto"/>
          <w:sz w:val="22"/>
          <w:highlight w:val="none"/>
        </w:rPr>
      </w:pPr>
      <w:r>
        <w:rPr>
          <w:rFonts w:hint="eastAsia" w:ascii="ＭＳ 明朝" w:hAnsi="ＭＳ 明朝"/>
          <w:b w:val="1"/>
          <w:color w:val="auto"/>
          <w:sz w:val="22"/>
          <w:highlight w:val="none"/>
        </w:rPr>
        <w:t>【外部評価者の点検・評価の概要】</w:t>
      </w:r>
    </w:p>
    <w:p>
      <w:pPr>
        <w:pStyle w:val="0"/>
        <w:ind w:left="440" w:hanging="440" w:hangingChars="200"/>
        <w:rPr>
          <w:rFonts w:hint="default" w:ascii="ＭＳ 明朝" w:hAnsi="ＭＳ 明朝"/>
          <w:color w:val="auto"/>
          <w:sz w:val="22"/>
          <w:highlight w:val="none"/>
        </w:rPr>
      </w:pPr>
      <w:r>
        <w:rPr>
          <w:rFonts w:hint="eastAsia" w:ascii="ＭＳ 明朝" w:hAnsi="ＭＳ 明朝"/>
          <w:color w:val="auto"/>
          <w:sz w:val="22"/>
          <w:highlight w:val="none"/>
        </w:rPr>
        <w:t>　・文化協会の高齢化が進んでいるため、世代交代の対策を講じることが必要である。</w:t>
      </w:r>
    </w:p>
    <w:p>
      <w:pPr>
        <w:pStyle w:val="0"/>
        <w:ind w:left="440" w:hanging="440" w:hangingChars="200"/>
        <w:rPr>
          <w:rFonts w:hint="default" w:ascii="ＭＳ 明朝" w:hAnsi="ＭＳ 明朝"/>
          <w:color w:val="auto"/>
          <w:sz w:val="22"/>
          <w:highlight w:val="none"/>
        </w:rPr>
      </w:pPr>
      <w:r>
        <w:rPr>
          <w:rFonts w:hint="eastAsia" w:ascii="ＭＳ 明朝" w:hAnsi="ＭＳ 明朝"/>
          <w:color w:val="auto"/>
          <w:sz w:val="22"/>
          <w:highlight w:val="none"/>
        </w:rPr>
        <w:t>　・文化祭、</w:t>
      </w:r>
      <w:r>
        <w:rPr>
          <w:rFonts w:hint="eastAsia" w:ascii="ＭＳ 明朝" w:hAnsi="ＭＳ 明朝"/>
          <w:color w:val="auto"/>
          <w:sz w:val="22"/>
          <w:highlight w:val="none"/>
        </w:rPr>
        <w:t>ORIGAMI</w:t>
      </w:r>
      <w:r>
        <w:rPr>
          <w:rFonts w:hint="eastAsia" w:ascii="ＭＳ 明朝" w:hAnsi="ＭＳ 明朝"/>
          <w:color w:val="auto"/>
          <w:sz w:val="22"/>
          <w:highlight w:val="none"/>
        </w:rPr>
        <w:t>フェスティバルは集客力が高く、町独自の特色ある文化行政が展開されている。</w:t>
      </w:r>
    </w:p>
    <w:p>
      <w:pPr>
        <w:pStyle w:val="0"/>
        <w:ind w:left="440" w:hanging="440" w:hangingChars="200"/>
        <w:rPr>
          <w:rFonts w:hint="default" w:ascii="ＭＳ 明朝" w:hAnsi="ＭＳ 明朝"/>
          <w:color w:val="auto"/>
          <w:sz w:val="22"/>
          <w:highlight w:val="none"/>
        </w:rPr>
      </w:pPr>
      <w:r>
        <w:rPr>
          <w:rFonts w:hint="eastAsia" w:ascii="ＭＳ 明朝" w:hAnsi="ＭＳ 明朝"/>
          <w:color w:val="auto"/>
          <w:sz w:val="22"/>
          <w:highlight w:val="none"/>
        </w:rPr>
        <w:t>　・</w:t>
      </w:r>
      <w:r>
        <w:rPr>
          <w:rFonts w:hint="eastAsia" w:ascii="ＭＳ 明朝" w:hAnsi="ＭＳ 明朝"/>
          <w:color w:val="auto"/>
          <w:sz w:val="22"/>
          <w:highlight w:val="none"/>
        </w:rPr>
        <w:t>ORIGAMI</w:t>
      </w:r>
      <w:r>
        <w:rPr>
          <w:rFonts w:hint="eastAsia" w:ascii="ＭＳ 明朝" w:hAnsi="ＭＳ 明朝"/>
          <w:color w:val="auto"/>
          <w:sz w:val="22"/>
          <w:highlight w:val="none"/>
        </w:rPr>
        <w:t>のまちが定着してきている。その中で折り紙ボックスの小学１年生への配付は良い取組である。</w:t>
      </w:r>
    </w:p>
    <w:p>
      <w:pPr>
        <w:pStyle w:val="0"/>
        <w:ind w:leftChars="0" w:firstLineChars="0"/>
        <w:rPr>
          <w:rFonts w:hint="default" w:ascii="ＭＳ 明朝" w:hAnsi="ＭＳ 明朝"/>
          <w:color w:val="auto"/>
          <w:sz w:val="22"/>
          <w:highlight w:val="none"/>
        </w:rPr>
      </w:pPr>
      <w:r>
        <w:rPr>
          <w:rFonts w:hint="eastAsia" w:ascii="ＭＳ 明朝" w:hAnsi="ＭＳ 明朝"/>
          <w:color w:val="auto"/>
          <w:sz w:val="22"/>
          <w:highlight w:val="none"/>
        </w:rPr>
        <w:t>　</w:t>
      </w:r>
    </w:p>
    <w:p>
      <w:pPr>
        <w:pStyle w:val="0"/>
        <w:rPr>
          <w:rFonts w:hint="default" w:ascii="ＭＳ 明朝" w:hAnsi="ＭＳ 明朝"/>
          <w:color w:val="auto"/>
          <w:highlight w:val="none"/>
        </w:rPr>
      </w:pPr>
      <w:r>
        <w:rPr>
          <w:rFonts w:hint="default" w:ascii="ＭＳ 明朝" w:hAnsi="ＭＳ 明朝"/>
          <w:b w:val="1"/>
          <w:color w:val="auto"/>
          <w:highlight w:val="none"/>
        </w:rPr>
        <w:t>➋</w:t>
      </w:r>
      <w:r>
        <w:rPr>
          <w:rFonts w:hint="eastAsia" w:ascii="ＭＳ 明朝" w:hAnsi="ＭＳ 明朝"/>
          <w:b w:val="1"/>
          <w:color w:val="auto"/>
          <w:highlight w:val="none"/>
        </w:rPr>
        <w:t>　文化遺産の保存・活用</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【事務・事業の概要】</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１　目的及び効果</w:t>
      </w:r>
    </w:p>
    <w:p>
      <w:pPr>
        <w:pStyle w:val="0"/>
        <w:ind w:left="220" w:hanging="220" w:hangingChars="100"/>
        <w:rPr>
          <w:rFonts w:hint="default" w:ascii="ＭＳ 明朝" w:hAnsi="ＭＳ 明朝"/>
          <w:color w:val="auto"/>
          <w:sz w:val="22"/>
          <w:highlight w:val="none"/>
        </w:rPr>
      </w:pPr>
      <w:r>
        <w:rPr>
          <w:rFonts w:hint="eastAsia" w:ascii="ＭＳ 明朝" w:hAnsi="ＭＳ 明朝"/>
          <w:color w:val="auto"/>
          <w:sz w:val="22"/>
          <w:highlight w:val="none"/>
        </w:rPr>
        <w:t>　　文化財は「伝統と歴史」に培われてきた遺産であり、その保護・継承のためには住民の関心と理解が必要である。</w:t>
      </w:r>
    </w:p>
    <w:p>
      <w:pPr>
        <w:pStyle w:val="0"/>
        <w:ind w:left="220" w:hanging="220" w:hangingChars="100"/>
        <w:rPr>
          <w:rFonts w:hint="default" w:ascii="ＭＳ 明朝" w:hAnsi="ＭＳ 明朝"/>
          <w:color w:val="auto"/>
          <w:sz w:val="22"/>
          <w:highlight w:val="none"/>
        </w:rPr>
      </w:pPr>
      <w:r>
        <w:rPr>
          <w:rFonts w:hint="eastAsia" w:ascii="ＭＳ 明朝" w:hAnsi="ＭＳ 明朝"/>
          <w:color w:val="auto"/>
          <w:sz w:val="22"/>
          <w:highlight w:val="none"/>
        </w:rPr>
        <w:t>　　このため機会を捉え、文化財保護思想の普及・啓発に努めるとともに、積極的な保護施策を講じる。</w:t>
      </w:r>
    </w:p>
    <w:p>
      <w:pPr>
        <w:pStyle w:val="0"/>
        <w:rPr>
          <w:rFonts w:hint="default" w:ascii="ＭＳ 明朝" w:hAnsi="ＭＳ 明朝"/>
          <w:color w:val="auto"/>
          <w:sz w:val="22"/>
          <w:highlight w:val="none"/>
        </w:rPr>
      </w:pPr>
      <w:r>
        <w:rPr>
          <w:rFonts w:hint="eastAsia" w:ascii="ＭＳ 明朝" w:hAnsi="ＭＳ 明朝"/>
          <w:b w:val="1"/>
          <w:color w:val="auto"/>
          <w:sz w:val="22"/>
          <w:highlight w:val="none"/>
        </w:rPr>
        <w:t>２　事業主体</w:t>
      </w:r>
    </w:p>
    <w:p>
      <w:pPr>
        <w:pStyle w:val="0"/>
        <w:rPr>
          <w:rFonts w:hint="default" w:ascii="ＭＳ 明朝" w:hAnsi="ＭＳ 明朝"/>
          <w:color w:val="auto"/>
          <w:sz w:val="22"/>
          <w:highlight w:val="none"/>
        </w:rPr>
      </w:pPr>
      <w:r>
        <w:rPr>
          <w:rFonts w:hint="eastAsia" w:ascii="ＭＳ 明朝" w:hAnsi="ＭＳ 明朝"/>
          <w:color w:val="auto"/>
          <w:sz w:val="22"/>
          <w:highlight w:val="none"/>
        </w:rPr>
        <w:t>　　生涯学習課</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３　事業内容及び状況</w:t>
      </w:r>
    </w:p>
    <w:p>
      <w:pPr>
        <w:pStyle w:val="21"/>
        <w:ind w:left="79" w:leftChars="1" w:hanging="77" w:hangingChars="35"/>
        <w:jc w:val="left"/>
        <w:rPr>
          <w:rFonts w:hint="default" w:ascii="ＭＳ 明朝" w:hAnsi="ＭＳ 明朝"/>
          <w:color w:val="auto"/>
          <w:sz w:val="22"/>
          <w:highlight w:val="none"/>
        </w:rPr>
      </w:pPr>
      <w:r>
        <w:rPr>
          <w:rFonts w:hint="eastAsia" w:ascii="ＭＳ 明朝" w:hAnsi="ＭＳ 明朝"/>
          <w:color w:val="auto"/>
          <w:sz w:val="22"/>
          <w:highlight w:val="none"/>
        </w:rPr>
        <w:t>（１）文化財保護思想の普及・啓発</w:t>
      </w:r>
    </w:p>
    <w:p>
      <w:pPr>
        <w:pStyle w:val="21"/>
        <w:ind w:left="480" w:leftChars="200" w:firstLine="220" w:firstLineChars="100"/>
        <w:rPr>
          <w:rFonts w:hint="default" w:ascii="ＭＳ 明朝" w:hAnsi="ＭＳ 明朝"/>
          <w:strike w:val="1"/>
          <w:color w:val="auto"/>
          <w:sz w:val="22"/>
          <w:highlight w:val="none"/>
        </w:rPr>
      </w:pPr>
      <w:r>
        <w:rPr>
          <w:rFonts w:hint="eastAsia" w:ascii="ＭＳ 明朝" w:hAnsi="ＭＳ 明朝"/>
          <w:color w:val="auto"/>
          <w:sz w:val="22"/>
        </w:rPr>
        <w:t>文化財に対する理解を深めるための事業を実施した。宇都宮市との連携事業として、国指定史跡「上神主・茂原官衙遺跡」の児童向けパンフレットの配布やウォークラリーを実施した。また、昨年度に重要文化財となった刻書瓦の修理事業を実施した。下野市・壬生町との連携事業として歴史ウォーク・しもつけ古墳群スタンプラリーを実施した</w:t>
      </w:r>
      <w:r>
        <w:rPr>
          <w:rFonts w:hint="eastAsia" w:ascii="ＭＳ 明朝" w:hAnsi="ＭＳ 明朝"/>
          <w:color w:val="auto"/>
          <w:sz w:val="22"/>
          <w:highlight w:val="none"/>
        </w:rPr>
        <w:t>。</w:t>
      </w:r>
    </w:p>
    <w:p>
      <w:pPr>
        <w:pStyle w:val="0"/>
        <w:ind w:left="660" w:hanging="660" w:hangingChars="300"/>
        <w:rPr>
          <w:rFonts w:hint="default" w:ascii="ＭＳ 明朝" w:hAnsi="ＭＳ 明朝"/>
          <w:color w:val="auto"/>
          <w:sz w:val="22"/>
          <w:highlight w:val="none"/>
        </w:rPr>
      </w:pPr>
      <w:r>
        <w:rPr>
          <w:rFonts w:hint="eastAsia" w:ascii="ＭＳ 明朝" w:hAnsi="ＭＳ 明朝"/>
          <w:color w:val="auto"/>
          <w:sz w:val="22"/>
          <w:highlight w:val="none"/>
        </w:rPr>
        <w:t>（２）指定文化財等保護保存事業</w:t>
      </w:r>
    </w:p>
    <w:p>
      <w:pPr>
        <w:pStyle w:val="0"/>
        <w:ind w:left="480" w:leftChars="200" w:firstLine="220" w:firstLineChars="100"/>
        <w:rPr>
          <w:rFonts w:hint="default" w:ascii="ＭＳ 明朝" w:hAnsi="ＭＳ 明朝"/>
          <w:color w:val="auto"/>
          <w:sz w:val="22"/>
        </w:rPr>
      </w:pPr>
      <w:r>
        <w:rPr>
          <w:rFonts w:hint="eastAsia" w:ascii="ＭＳ 明朝" w:hAnsi="ＭＳ 明朝"/>
          <w:color w:val="auto"/>
          <w:sz w:val="22"/>
        </w:rPr>
        <w:t>指定文化財を後世に伝え残すために、町指定文化財所有者・管理者に保存、管理料を補助するとともに、老朽化した説明看板の更新を行った。</w:t>
      </w:r>
    </w:p>
    <w:p>
      <w:pPr>
        <w:pStyle w:val="0"/>
        <w:ind w:left="480" w:leftChars="200" w:firstLine="220" w:firstLineChars="100"/>
        <w:rPr>
          <w:rFonts w:hint="default" w:ascii="ＭＳ 明朝" w:hAnsi="ＭＳ 明朝"/>
          <w:color w:val="auto"/>
          <w:sz w:val="22"/>
          <w:highlight w:val="none"/>
        </w:rPr>
      </w:pPr>
      <w:r>
        <w:rPr>
          <w:rFonts w:hint="eastAsia" w:ascii="ＭＳ 明朝" w:hAnsi="ＭＳ 明朝"/>
          <w:color w:val="auto"/>
          <w:sz w:val="22"/>
        </w:rPr>
        <w:t>国登録有形文化財生沼家住宅の維持管理業務及び修繕計画策定を行った。国登録有形文化財生沼家住宅の利活用については、関係課によるプロジェクトチームを設置して検討を行った</w:t>
      </w:r>
      <w:r>
        <w:rPr>
          <w:rFonts w:hint="eastAsia" w:ascii="ＭＳ 明朝" w:hAnsi="ＭＳ 明朝"/>
          <w:color w:val="auto"/>
          <w:sz w:val="22"/>
          <w:highlight w:val="none"/>
        </w:rPr>
        <w:t>。</w:t>
      </w:r>
    </w:p>
    <w:p>
      <w:pPr>
        <w:pStyle w:val="21"/>
        <w:numPr>
          <w:ilvl w:val="0"/>
          <w:numId w:val="3"/>
        </w:numPr>
        <w:ind w:leftChars="0"/>
        <w:rPr>
          <w:rFonts w:hint="default" w:ascii="ＭＳ 明朝" w:hAnsi="ＭＳ 明朝"/>
          <w:color w:val="auto"/>
          <w:sz w:val="22"/>
          <w:highlight w:val="none"/>
        </w:rPr>
      </w:pPr>
      <w:r>
        <w:rPr>
          <w:rFonts w:hint="eastAsia" w:ascii="ＭＳ 明朝" w:hAnsi="ＭＳ 明朝"/>
          <w:color w:val="auto"/>
          <w:sz w:val="22"/>
          <w:highlight w:val="none"/>
        </w:rPr>
        <w:t>文化財保存活用地域計画</w:t>
      </w:r>
    </w:p>
    <w:p>
      <w:pPr>
        <w:pStyle w:val="21"/>
        <w:ind w:left="480" w:leftChars="200" w:firstLine="220" w:firstLineChars="100"/>
        <w:rPr>
          <w:rFonts w:hint="default" w:ascii="ＭＳ 明朝" w:hAnsi="ＭＳ 明朝"/>
          <w:strike w:val="1"/>
          <w:color w:val="auto"/>
          <w:sz w:val="22"/>
          <w:highlight w:val="none"/>
        </w:rPr>
      </w:pPr>
      <w:r>
        <w:rPr>
          <w:rFonts w:hint="eastAsia" w:ascii="ＭＳ 明朝" w:hAnsi="ＭＳ 明朝"/>
          <w:color w:val="auto"/>
          <w:sz w:val="22"/>
        </w:rPr>
        <w:t>町内の文化財について、指定未指定に関わらず総合的・一体的に保存・活用することにより、地域の特徴を生かした文化振興に資するとともに町民共有の財産を後世へ継承していくことを目的とした計画を作成し、７月に国の認定を受けた。　令和７年度は、３か年計画の３年目。</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【決算額】</w:t>
      </w:r>
    </w:p>
    <w:p>
      <w:pPr>
        <w:pStyle w:val="0"/>
        <w:rPr>
          <w:rFonts w:hint="default" w:ascii="ＭＳ 明朝" w:hAnsi="ＭＳ 明朝"/>
          <w:color w:val="auto"/>
          <w:sz w:val="22"/>
          <w:highlight w:val="none"/>
        </w:rPr>
      </w:pPr>
      <w:r>
        <w:rPr>
          <w:rFonts w:hint="eastAsia" w:ascii="ＭＳ 明朝" w:hAnsi="ＭＳ 明朝"/>
          <w:color w:val="auto"/>
          <w:sz w:val="22"/>
          <w:highlight w:val="none"/>
        </w:rPr>
        <w:t>　　第１０款　教育費　第４項　社会教育費　５目　文化財保護費　２８</w:t>
      </w:r>
      <w:r>
        <w:rPr>
          <w:rFonts w:hint="eastAsia" w:ascii="ＭＳ 明朝" w:hAnsi="ＭＳ 明朝"/>
          <w:color w:val="auto"/>
          <w:sz w:val="22"/>
          <w:highlight w:val="none"/>
        </w:rPr>
        <w:t>,</w:t>
      </w:r>
      <w:r>
        <w:rPr>
          <w:rFonts w:hint="eastAsia" w:ascii="ＭＳ 明朝" w:hAnsi="ＭＳ 明朝"/>
          <w:color w:val="auto"/>
          <w:sz w:val="22"/>
          <w:highlight w:val="none"/>
        </w:rPr>
        <w:t>４２０千円</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【事業評価（自己評価）】</w:t>
      </w:r>
    </w:p>
    <w:p>
      <w:pPr>
        <w:pStyle w:val="21"/>
        <w:ind w:left="220" w:leftChars="0" w:firstLine="220"/>
        <w:rPr>
          <w:rFonts w:hint="default" w:ascii="ＭＳ 明朝" w:hAnsi="ＭＳ 明朝"/>
          <w:color w:val="auto"/>
          <w:sz w:val="22"/>
        </w:rPr>
      </w:pPr>
      <w:r>
        <w:rPr>
          <w:rFonts w:hint="eastAsia" w:ascii="ＭＳ 明朝" w:hAnsi="ＭＳ 明朝"/>
          <w:color w:val="auto"/>
          <w:sz w:val="22"/>
        </w:rPr>
        <w:t>国指定史跡上神主・茂原官衙遺跡について、児童向けパンフレット配布やウォークラリーを実施し、町の文化財に対する理解と愛着を深める機会を提供することができた。また、歴史的に繋がりの深い下野市・壬生町との広域連携において実施したスタンプラリーでは景品３００個がほとんどなくなるほど好評となり、広く町文化財の啓発をすることができた。</w:t>
      </w:r>
    </w:p>
    <w:p>
      <w:pPr>
        <w:pStyle w:val="21"/>
        <w:ind w:left="220" w:leftChars="0" w:firstLine="220"/>
        <w:rPr>
          <w:rFonts w:hint="default" w:ascii="ＭＳ 明朝" w:hAnsi="ＭＳ 明朝"/>
          <w:color w:val="auto"/>
          <w:sz w:val="22"/>
        </w:rPr>
      </w:pPr>
      <w:r>
        <w:rPr>
          <w:rFonts w:hint="eastAsia" w:ascii="ＭＳ 明朝" w:hAnsi="ＭＳ 明朝"/>
          <w:color w:val="auto"/>
          <w:sz w:val="22"/>
        </w:rPr>
        <w:t>国登録有形文化財生沼家住宅については、官民連携での利活用を目指し、関係課によるプロジェクトチームを設置し、事業者サウンディング調査や住民アンケートを実施し、民間事業者や住民の意見を聞くことができた。</w:t>
      </w:r>
    </w:p>
    <w:p>
      <w:pPr>
        <w:pStyle w:val="21"/>
        <w:ind w:left="220" w:leftChars="0" w:firstLine="220"/>
        <w:rPr>
          <w:rFonts w:hint="default" w:ascii="ＭＳ 明朝" w:hAnsi="ＭＳ 明朝"/>
          <w:color w:val="auto"/>
          <w:sz w:val="22"/>
          <w:highlight w:val="none"/>
        </w:rPr>
      </w:pPr>
      <w:r>
        <w:rPr>
          <w:rFonts w:hint="eastAsia" w:ascii="ＭＳ 明朝" w:hAnsi="ＭＳ 明朝"/>
          <w:color w:val="auto"/>
          <w:sz w:val="22"/>
        </w:rPr>
        <w:t>国の認定を受けた文化財保存活用地域計画については、今後の文化財保護事業を計画的に行っていく指標となった</w:t>
      </w:r>
      <w:r>
        <w:rPr>
          <w:rFonts w:hint="eastAsia" w:ascii="ＭＳ 明朝" w:hAnsi="ＭＳ 明朝"/>
          <w:color w:val="auto"/>
          <w:sz w:val="22"/>
          <w:highlight w:val="none"/>
        </w:rPr>
        <w:t>。</w:t>
      </w:r>
    </w:p>
    <w:p>
      <w:pPr>
        <w:pStyle w:val="21"/>
        <w:ind w:left="663" w:leftChars="0" w:hanging="663" w:hangingChars="300"/>
        <w:rPr>
          <w:rFonts w:hint="default" w:ascii="ＭＳ 明朝" w:hAnsi="ＭＳ 明朝"/>
          <w:color w:val="auto"/>
          <w:sz w:val="22"/>
          <w:highlight w:val="none"/>
        </w:rPr>
      </w:pPr>
      <w:r>
        <w:rPr>
          <w:rFonts w:hint="eastAsia" w:ascii="ＭＳ 明朝" w:hAnsi="ＭＳ 明朝"/>
          <w:b w:val="1"/>
          <w:color w:val="auto"/>
          <w:sz w:val="22"/>
          <w:highlight w:val="none"/>
        </w:rPr>
        <w:t>【外部評価者の点検・評価の概要】</w:t>
      </w:r>
    </w:p>
    <w:p>
      <w:pPr>
        <w:pStyle w:val="0"/>
        <w:ind w:left="460" w:leftChars="100" w:hanging="220" w:hangingChars="100"/>
        <w:rPr>
          <w:rFonts w:hint="default" w:ascii="ＭＳ 明朝" w:hAnsi="ＭＳ 明朝"/>
          <w:color w:val="auto"/>
          <w:sz w:val="22"/>
          <w:highlight w:val="none"/>
        </w:rPr>
      </w:pPr>
      <w:r>
        <w:rPr>
          <w:rFonts w:hint="eastAsia" w:ascii="ＭＳ 明朝" w:hAnsi="ＭＳ 明朝"/>
          <w:color w:val="auto"/>
          <w:sz w:val="22"/>
          <w:highlight w:val="none"/>
        </w:rPr>
        <w:t>・新たに国の認定を受けた文化財保存活用地域計画を基に文化財保護事業を展開していってほしい。。</w:t>
      </w:r>
    </w:p>
    <w:p>
      <w:pPr>
        <w:pStyle w:val="0"/>
        <w:ind w:left="460" w:leftChars="100" w:hanging="220" w:hangingChars="100"/>
        <w:rPr>
          <w:rFonts w:hint="default" w:ascii="ＭＳ 明朝" w:hAnsi="ＭＳ 明朝"/>
          <w:color w:val="auto"/>
          <w:sz w:val="22"/>
          <w:highlight w:val="none"/>
        </w:rPr>
      </w:pPr>
      <w:r>
        <w:rPr>
          <w:rFonts w:hint="eastAsia" w:ascii="ＭＳ 明朝" w:hAnsi="ＭＳ 明朝"/>
          <w:color w:val="auto"/>
          <w:sz w:val="22"/>
          <w:highlight w:val="none"/>
        </w:rPr>
        <w:t>・遺跡に興味を持つ子どもは多いので、参加しやすいイベントなどがあると良い。</w:t>
      </w:r>
    </w:p>
    <w:p>
      <w:pPr>
        <w:pStyle w:val="0"/>
        <w:ind w:left="460" w:leftChars="100" w:hanging="220" w:hangingChars="100"/>
        <w:rPr>
          <w:rFonts w:hint="default" w:ascii="ＭＳ 明朝" w:hAnsi="ＭＳ 明朝"/>
          <w:color w:val="auto"/>
          <w:sz w:val="22"/>
          <w:highlight w:val="none"/>
        </w:rPr>
      </w:pPr>
      <w:r>
        <w:rPr>
          <w:rFonts w:hint="eastAsia" w:ascii="ＭＳ 明朝" w:hAnsi="ＭＳ 明朝"/>
          <w:color w:val="auto"/>
          <w:sz w:val="22"/>
          <w:highlight w:val="none"/>
        </w:rPr>
        <w:t>・下野市と壬生町との広域連携について、今後も引き続き実施されると良い。</w:t>
      </w:r>
    </w:p>
    <w:p>
      <w:pPr>
        <w:pStyle w:val="0"/>
        <w:ind w:left="440" w:hanging="440" w:hangingChars="200"/>
        <w:rPr>
          <w:rFonts w:hint="default" w:ascii="ＭＳ 明朝" w:hAnsi="ＭＳ 明朝"/>
          <w:color w:val="auto"/>
          <w:sz w:val="22"/>
          <w:highlight w:val="none"/>
        </w:rPr>
      </w:pPr>
      <w:r>
        <w:rPr>
          <w:rFonts w:hint="eastAsia" w:ascii="ＭＳ 明朝" w:hAnsi="ＭＳ 明朝"/>
          <w:color w:val="auto"/>
          <w:sz w:val="22"/>
          <w:highlight w:val="none"/>
        </w:rPr>
        <w:t>　・上三川小学校の子どもたちは、生沼家住宅を知っているが、他の学区の子どもたちにも周知を図り、郷土愛を育む教育を進めてほしい。</w:t>
      </w:r>
    </w:p>
    <w:p>
      <w:pPr>
        <w:pStyle w:val="0"/>
        <w:rPr>
          <w:rFonts w:hint="default" w:ascii="ＭＳ 明朝" w:hAnsi="ＭＳ 明朝"/>
          <w:color w:val="auto"/>
          <w:sz w:val="22"/>
          <w:highlight w:val="none"/>
        </w:rPr>
      </w:pPr>
    </w:p>
    <w:p>
      <w:pPr>
        <w:pStyle w:val="0"/>
        <w:rPr>
          <w:rFonts w:hint="default" w:ascii="ＭＳ 明朝" w:hAnsi="ＭＳ 明朝"/>
          <w:color w:val="auto"/>
          <w:sz w:val="22"/>
          <w:highlight w:val="none"/>
        </w:rPr>
      </w:pPr>
    </w:p>
    <w:p>
      <w:pPr>
        <w:pStyle w:val="0"/>
        <w:rPr>
          <w:rFonts w:hint="default" w:ascii="ＭＳ 明朝" w:hAnsi="ＭＳ 明朝"/>
          <w:color w:val="auto"/>
          <w:sz w:val="22"/>
          <w:highlight w:val="none"/>
        </w:rPr>
      </w:pPr>
      <w:r>
        <w:rPr>
          <w:rFonts w:hint="eastAsia" w:ascii="ＭＳ 明朝" w:hAnsi="ＭＳ 明朝"/>
          <w:color w:val="auto"/>
          <w:sz w:val="22"/>
          <w:highlight w:val="none"/>
        </w:rPr>
        <w:t>【</w:t>
      </w:r>
      <w:r>
        <w:rPr>
          <w:rFonts w:hint="eastAsia" w:ascii="ＭＳ 明朝" w:hAnsi="ＭＳ 明朝"/>
          <w:b w:val="1"/>
          <w:color w:val="auto"/>
          <w:sz w:val="22"/>
          <w:highlight w:val="none"/>
        </w:rPr>
        <w:t>第３章　芸術・文化の振興</w:t>
      </w:r>
      <w:r>
        <w:rPr>
          <w:rFonts w:hint="eastAsia"/>
          <w:b w:val="1"/>
          <w:color w:val="auto"/>
          <w:sz w:val="22"/>
          <w:highlight w:val="none"/>
        </w:rPr>
        <w:t>に関する指標</w:t>
      </w:r>
      <w:r>
        <w:rPr>
          <w:rFonts w:hint="eastAsia" w:ascii="ＭＳ 明朝" w:hAnsi="ＭＳ 明朝"/>
          <w:color w:val="auto"/>
          <w:sz w:val="22"/>
          <w:highlight w:val="none"/>
        </w:rPr>
        <w:t>】</w:t>
      </w:r>
    </w:p>
    <w:p>
      <w:pPr>
        <w:pStyle w:val="0"/>
        <w:ind w:firstLine="221" w:firstLineChars="100"/>
        <w:rPr>
          <w:rFonts w:hint="default" w:ascii="ＭＳ 明朝" w:hAnsi="ＭＳ 明朝"/>
          <w:b w:val="1"/>
          <w:color w:val="auto"/>
          <w:sz w:val="22"/>
          <w:highlight w:val="none"/>
        </w:rPr>
      </w:pPr>
      <w:r>
        <w:rPr>
          <w:rFonts w:hint="default" w:ascii="ＭＳ 明朝" w:hAnsi="ＭＳ 明朝"/>
          <w:b w:val="1"/>
          <w:color w:val="auto"/>
          <w:sz w:val="22"/>
          <w:highlight w:val="none"/>
        </w:rPr>
        <w:t>➊</w:t>
      </w:r>
      <w:r>
        <w:rPr>
          <w:rFonts w:hint="eastAsia" w:ascii="ＭＳ 明朝" w:hAnsi="ＭＳ 明朝"/>
          <w:b w:val="1"/>
          <w:color w:val="auto"/>
          <w:sz w:val="22"/>
          <w:highlight w:val="none"/>
        </w:rPr>
        <w:t>　芸術・文化活動の活性化</w:t>
      </w:r>
    </w:p>
    <w:p>
      <w:pPr>
        <w:pStyle w:val="0"/>
        <w:ind w:firstLine="221" w:firstLineChars="100"/>
        <w:rPr>
          <w:rFonts w:hint="default" w:ascii="ＭＳ 明朝" w:hAnsi="ＭＳ 明朝"/>
          <w:color w:val="auto"/>
          <w:sz w:val="22"/>
          <w:highlight w:val="none"/>
        </w:rPr>
      </w:pPr>
      <w:r>
        <w:rPr>
          <w:rFonts w:hint="default" w:ascii="ＭＳ 明朝" w:hAnsi="ＭＳ 明朝"/>
          <w:b w:val="1"/>
          <w:color w:val="auto"/>
          <w:sz w:val="22"/>
          <w:highlight w:val="none"/>
        </w:rPr>
        <w:t>➋</w:t>
      </w:r>
      <w:r>
        <w:rPr>
          <w:rFonts w:hint="eastAsia" w:ascii="ＭＳ 明朝" w:hAnsi="ＭＳ 明朝"/>
          <w:b w:val="1"/>
          <w:color w:val="auto"/>
          <w:sz w:val="22"/>
          <w:highlight w:val="none"/>
        </w:rPr>
        <w:t>　文化遺産の保存・活用</w:t>
      </w:r>
    </w:p>
    <w:tbl>
      <w:tblPr>
        <w:tblStyle w:val="11"/>
        <w:tblW w:w="8695"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536"/>
        <w:gridCol w:w="1386"/>
        <w:gridCol w:w="1386"/>
        <w:gridCol w:w="1387"/>
      </w:tblGrid>
      <w:tr>
        <w:trPr>
          <w:trHeight w:val="336" w:hRule="atLeast"/>
        </w:trPr>
        <w:tc>
          <w:tcPr>
            <w:tcW w:w="4536" w:type="dxa"/>
            <w:vAlign w:val="center"/>
          </w:tcPr>
          <w:p>
            <w:pPr>
              <w:pStyle w:val="0"/>
              <w:jc w:val="center"/>
              <w:rPr>
                <w:rFonts w:hint="default" w:ascii="ＭＳ 明朝" w:hAnsi="ＭＳ 明朝"/>
                <w:color w:val="auto"/>
                <w:sz w:val="22"/>
                <w:highlight w:val="none"/>
              </w:rPr>
            </w:pPr>
            <w:r>
              <w:rPr>
                <w:rFonts w:hint="eastAsia" w:ascii="ＭＳ 明朝" w:hAnsi="ＭＳ 明朝"/>
                <w:color w:val="auto"/>
                <w:sz w:val="22"/>
                <w:highlight w:val="none"/>
              </w:rPr>
              <w:t>指標名</w:t>
            </w:r>
          </w:p>
        </w:tc>
        <w:tc>
          <w:tcPr>
            <w:tcW w:w="138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基準値</w:t>
            </w:r>
            <w:r>
              <w:rPr>
                <w:rFonts w:hint="eastAsia" w:ascii="ＭＳ 明朝" w:hAnsi="ＭＳ 明朝"/>
                <w:color w:val="auto"/>
                <w:sz w:val="22"/>
                <w:highlight w:val="none"/>
              </w:rPr>
              <w:t>(</w:t>
            </w:r>
            <w:r>
              <w:rPr>
                <w:rFonts w:hint="default" w:ascii="ＭＳ 明朝" w:hAnsi="ＭＳ 明朝"/>
                <w:color w:val="auto"/>
                <w:sz w:val="22"/>
                <w:highlight w:val="none"/>
              </w:rPr>
              <w:t>R1)</w:t>
            </w:r>
          </w:p>
        </w:tc>
        <w:tc>
          <w:tcPr>
            <w:tcW w:w="138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実績値</w:t>
            </w:r>
            <w:r>
              <w:rPr>
                <w:rFonts w:hint="eastAsia" w:ascii="ＭＳ 明朝" w:hAnsi="ＭＳ 明朝"/>
                <w:color w:val="auto"/>
                <w:sz w:val="22"/>
                <w:highlight w:val="none"/>
              </w:rPr>
              <w:t>(</w:t>
            </w:r>
            <w:r>
              <w:rPr>
                <w:rFonts w:hint="default" w:ascii="ＭＳ 明朝" w:hAnsi="ＭＳ 明朝"/>
                <w:color w:val="auto"/>
                <w:sz w:val="22"/>
                <w:highlight w:val="none"/>
              </w:rPr>
              <w:t>R</w:t>
            </w:r>
            <w:r>
              <w:rPr>
                <w:rFonts w:hint="eastAsia" w:ascii="ＭＳ 明朝" w:hAnsi="ＭＳ 明朝"/>
                <w:color w:val="auto"/>
                <w:sz w:val="22"/>
                <w:highlight w:val="none"/>
              </w:rPr>
              <w:t>7</w:t>
            </w:r>
            <w:r>
              <w:rPr>
                <w:rFonts w:hint="default" w:ascii="ＭＳ 明朝" w:hAnsi="ＭＳ 明朝"/>
                <w:color w:val="auto"/>
                <w:sz w:val="22"/>
                <w:highlight w:val="none"/>
              </w:rPr>
              <w:t>)</w:t>
            </w:r>
          </w:p>
        </w:tc>
        <w:tc>
          <w:tcPr>
            <w:tcW w:w="1387"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目標値</w:t>
            </w:r>
            <w:r>
              <w:rPr>
                <w:rFonts w:hint="eastAsia" w:ascii="ＭＳ 明朝" w:hAnsi="ＭＳ 明朝"/>
                <w:color w:val="auto"/>
                <w:sz w:val="22"/>
                <w:highlight w:val="none"/>
              </w:rPr>
              <w:t>(</w:t>
            </w:r>
            <w:r>
              <w:rPr>
                <w:rFonts w:hint="default" w:ascii="ＭＳ 明朝" w:hAnsi="ＭＳ 明朝"/>
                <w:color w:val="auto"/>
                <w:sz w:val="22"/>
                <w:highlight w:val="none"/>
              </w:rPr>
              <w:t>R7)</w:t>
            </w:r>
          </w:p>
        </w:tc>
      </w:tr>
      <w:tr>
        <w:trPr>
          <w:trHeight w:val="348" w:hRule="atLeast"/>
        </w:trPr>
        <w:tc>
          <w:tcPr>
            <w:tcW w:w="453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児童・生徒文化体験子ども教室の開催回数</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10</w:t>
            </w:r>
            <w:r>
              <w:rPr>
                <w:rFonts w:hint="eastAsia" w:ascii="ＭＳ 明朝" w:hAnsi="ＭＳ 明朝"/>
                <w:color w:val="auto"/>
                <w:sz w:val="22"/>
                <w:highlight w:val="none"/>
              </w:rPr>
              <w:t>回</w:t>
            </w:r>
          </w:p>
        </w:tc>
        <w:tc>
          <w:tcPr>
            <w:tcW w:w="1386" w:type="dxa"/>
            <w:vAlign w:val="center"/>
          </w:tcPr>
          <w:p>
            <w:pPr>
              <w:pStyle w:val="0"/>
              <w:wordWrap w:val="0"/>
              <w:jc w:val="right"/>
              <w:rPr>
                <w:rFonts w:hint="default" w:ascii="ＭＳ 明朝" w:hAnsi="ＭＳ 明朝"/>
                <w:color w:val="auto"/>
                <w:sz w:val="22"/>
                <w:highlight w:val="none"/>
              </w:rPr>
            </w:pPr>
            <w:r>
              <w:rPr>
                <w:rFonts w:hint="eastAsia" w:ascii="ＭＳ 明朝" w:hAnsi="ＭＳ 明朝"/>
                <w:color w:val="auto"/>
                <w:sz w:val="22"/>
                <w:highlight w:val="none"/>
              </w:rPr>
              <w:t>10</w:t>
            </w:r>
            <w:r>
              <w:rPr>
                <w:rFonts w:hint="eastAsia" w:ascii="ＭＳ 明朝" w:hAnsi="ＭＳ 明朝"/>
                <w:color w:val="auto"/>
                <w:sz w:val="22"/>
                <w:highlight w:val="none"/>
              </w:rPr>
              <w:t>回</w:t>
            </w:r>
          </w:p>
        </w:tc>
        <w:tc>
          <w:tcPr>
            <w:tcW w:w="1387"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1</w:t>
            </w:r>
            <w:r>
              <w:rPr>
                <w:rFonts w:hint="default" w:ascii="ＭＳ 明朝" w:hAnsi="ＭＳ 明朝"/>
                <w:color w:val="auto"/>
                <w:sz w:val="22"/>
                <w:highlight w:val="none"/>
              </w:rPr>
              <w:t>2</w:t>
            </w:r>
            <w:r>
              <w:rPr>
                <w:rFonts w:hint="eastAsia" w:ascii="ＭＳ 明朝" w:hAnsi="ＭＳ 明朝"/>
                <w:color w:val="auto"/>
                <w:sz w:val="22"/>
                <w:highlight w:val="none"/>
              </w:rPr>
              <w:t>回</w:t>
            </w:r>
          </w:p>
        </w:tc>
      </w:tr>
      <w:tr>
        <w:trPr>
          <w:trHeight w:val="348" w:hRule="atLeast"/>
        </w:trPr>
        <w:tc>
          <w:tcPr>
            <w:tcW w:w="453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文化協会出前授業の開催回数</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10</w:t>
            </w:r>
            <w:r>
              <w:rPr>
                <w:rFonts w:hint="eastAsia" w:ascii="ＭＳ 明朝" w:hAnsi="ＭＳ 明朝"/>
                <w:color w:val="auto"/>
                <w:sz w:val="22"/>
                <w:highlight w:val="none"/>
              </w:rPr>
              <w:t>回</w:t>
            </w:r>
          </w:p>
        </w:tc>
        <w:tc>
          <w:tcPr>
            <w:tcW w:w="1386" w:type="dxa"/>
            <w:vAlign w:val="center"/>
          </w:tcPr>
          <w:p>
            <w:pPr>
              <w:pStyle w:val="0"/>
              <w:wordWrap w:val="0"/>
              <w:jc w:val="right"/>
              <w:rPr>
                <w:rFonts w:hint="default" w:ascii="ＭＳ 明朝" w:hAnsi="ＭＳ 明朝"/>
                <w:color w:val="auto"/>
                <w:sz w:val="22"/>
                <w:highlight w:val="none"/>
              </w:rPr>
            </w:pPr>
            <w:r>
              <w:rPr>
                <w:rFonts w:hint="eastAsia" w:ascii="ＭＳ 明朝" w:hAnsi="ＭＳ 明朝"/>
                <w:color w:val="auto"/>
                <w:sz w:val="22"/>
              </w:rPr>
              <w:t>※</w:t>
            </w:r>
            <w:r>
              <w:rPr>
                <w:rFonts w:hint="eastAsia" w:ascii="ＭＳ 明朝" w:hAnsi="ＭＳ 明朝"/>
                <w:color w:val="auto"/>
                <w:sz w:val="22"/>
              </w:rPr>
              <w:t xml:space="preserve"> 0</w:t>
            </w:r>
            <w:r>
              <w:rPr>
                <w:rFonts w:hint="eastAsia" w:ascii="ＭＳ 明朝" w:hAnsi="ＭＳ 明朝"/>
                <w:color w:val="auto"/>
                <w:sz w:val="22"/>
                <w:highlight w:val="none"/>
              </w:rPr>
              <w:t>回</w:t>
            </w:r>
          </w:p>
        </w:tc>
        <w:tc>
          <w:tcPr>
            <w:tcW w:w="1387" w:type="dxa"/>
            <w:vAlign w:val="center"/>
          </w:tcPr>
          <w:p>
            <w:pPr>
              <w:pStyle w:val="0"/>
              <w:jc w:val="right"/>
              <w:rPr>
                <w:rFonts w:hint="default" w:ascii="ＭＳ 明朝" w:hAnsi="ＭＳ 明朝"/>
                <w:color w:val="auto"/>
                <w:sz w:val="22"/>
                <w:highlight w:val="none"/>
              </w:rPr>
            </w:pPr>
            <w:r>
              <w:rPr>
                <w:rFonts w:hint="default" w:ascii="ＭＳ 明朝" w:hAnsi="ＭＳ 明朝"/>
                <w:color w:val="auto"/>
                <w:sz w:val="22"/>
                <w:highlight w:val="none"/>
              </w:rPr>
              <w:t>12</w:t>
            </w:r>
            <w:r>
              <w:rPr>
                <w:rFonts w:hint="eastAsia" w:ascii="ＭＳ 明朝" w:hAnsi="ＭＳ 明朝"/>
                <w:color w:val="auto"/>
                <w:sz w:val="22"/>
                <w:highlight w:val="none"/>
              </w:rPr>
              <w:t>回</w:t>
            </w:r>
          </w:p>
        </w:tc>
      </w:tr>
      <w:tr>
        <w:trPr>
          <w:trHeight w:val="132" w:hRule="atLeast"/>
        </w:trPr>
        <w:tc>
          <w:tcPr>
            <w:tcW w:w="453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文化祭来場者数</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3,479</w:t>
            </w:r>
            <w:r>
              <w:rPr>
                <w:rFonts w:hint="eastAsia" w:ascii="ＭＳ 明朝" w:hAnsi="ＭＳ 明朝"/>
                <w:color w:val="auto"/>
                <w:sz w:val="22"/>
                <w:highlight w:val="none"/>
              </w:rPr>
              <w:t>人</w:t>
            </w:r>
          </w:p>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w:t>
            </w:r>
            <w:r>
              <w:rPr>
                <w:rFonts w:hint="default" w:ascii="ＭＳ 明朝" w:hAnsi="ＭＳ 明朝"/>
                <w:color w:val="auto"/>
                <w:sz w:val="22"/>
                <w:highlight w:val="none"/>
              </w:rPr>
              <w:t>H30</w:t>
            </w:r>
            <w:r>
              <w:rPr>
                <w:rFonts w:hint="eastAsia" w:ascii="ＭＳ 明朝" w:hAnsi="ＭＳ 明朝"/>
                <w:color w:val="auto"/>
                <w:sz w:val="22"/>
                <w:highlight w:val="none"/>
              </w:rPr>
              <w:t>年度</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rPr>
              <w:t>4,498</w:t>
            </w:r>
            <w:r>
              <w:rPr>
                <w:rFonts w:hint="eastAsia" w:ascii="ＭＳ 明朝" w:hAnsi="ＭＳ 明朝"/>
                <w:color w:val="auto"/>
                <w:sz w:val="22"/>
                <w:highlight w:val="none"/>
              </w:rPr>
              <w:t>人</w:t>
            </w:r>
          </w:p>
        </w:tc>
        <w:tc>
          <w:tcPr>
            <w:tcW w:w="1387"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3,600</w:t>
            </w:r>
            <w:r>
              <w:rPr>
                <w:rFonts w:hint="eastAsia" w:ascii="ＭＳ 明朝" w:hAnsi="ＭＳ 明朝"/>
                <w:color w:val="auto"/>
                <w:sz w:val="22"/>
                <w:highlight w:val="none"/>
              </w:rPr>
              <w:t>人</w:t>
            </w:r>
          </w:p>
        </w:tc>
      </w:tr>
      <w:tr>
        <w:trPr>
          <w:trHeight w:val="204" w:hRule="atLeast"/>
        </w:trPr>
        <w:tc>
          <w:tcPr>
            <w:tcW w:w="453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文化財の保護に関する啓発イベント件数</w:t>
            </w:r>
          </w:p>
        </w:tc>
        <w:tc>
          <w:tcPr>
            <w:tcW w:w="1386" w:type="dxa"/>
            <w:vAlign w:val="center"/>
          </w:tcPr>
          <w:p>
            <w:pPr>
              <w:pStyle w:val="0"/>
              <w:jc w:val="right"/>
              <w:rPr>
                <w:rFonts w:hint="default" w:ascii="ＭＳ 明朝" w:hAnsi="ＭＳ 明朝"/>
                <w:color w:val="auto"/>
                <w:sz w:val="22"/>
                <w:highlight w:val="none"/>
              </w:rPr>
            </w:pPr>
            <w:r>
              <w:rPr>
                <w:rFonts w:hint="default" w:ascii="ＭＳ 明朝" w:hAnsi="ＭＳ 明朝"/>
                <w:color w:val="auto"/>
                <w:sz w:val="22"/>
                <w:highlight w:val="none"/>
              </w:rPr>
              <w:t>6</w:t>
            </w:r>
            <w:r>
              <w:rPr>
                <w:rFonts w:hint="eastAsia" w:ascii="ＭＳ 明朝" w:hAnsi="ＭＳ 明朝"/>
                <w:color w:val="auto"/>
                <w:sz w:val="22"/>
                <w:highlight w:val="none"/>
              </w:rPr>
              <w:t>件</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rPr>
              <w:t>8</w:t>
            </w:r>
            <w:r>
              <w:rPr>
                <w:rFonts w:hint="eastAsia" w:ascii="ＭＳ 明朝" w:hAnsi="ＭＳ 明朝"/>
                <w:color w:val="auto"/>
                <w:sz w:val="22"/>
                <w:highlight w:val="none"/>
              </w:rPr>
              <w:t>件</w:t>
            </w:r>
          </w:p>
        </w:tc>
        <w:tc>
          <w:tcPr>
            <w:tcW w:w="1387"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8</w:t>
            </w:r>
            <w:r>
              <w:rPr>
                <w:rFonts w:hint="eastAsia" w:ascii="ＭＳ 明朝" w:hAnsi="ＭＳ 明朝"/>
                <w:color w:val="auto"/>
                <w:sz w:val="22"/>
                <w:highlight w:val="none"/>
              </w:rPr>
              <w:t>件</w:t>
            </w:r>
          </w:p>
        </w:tc>
      </w:tr>
    </w:tbl>
    <w:p>
      <w:pPr>
        <w:pStyle w:val="0"/>
        <w:rPr>
          <w:rFonts w:hint="default"/>
          <w:color w:val="auto"/>
          <w:highlight w:val="none"/>
        </w:rPr>
      </w:pPr>
      <w:r>
        <w:rPr>
          <w:rFonts w:hint="eastAsia" w:ascii="ＭＳ 明朝" w:hAnsi="ＭＳ 明朝"/>
          <w:color w:val="auto"/>
          <w:sz w:val="22"/>
          <w:highlight w:val="none"/>
        </w:rPr>
        <w:t>　</w:t>
      </w:r>
      <w:r>
        <w:rPr>
          <w:rFonts w:hint="eastAsia" w:ascii="ＭＳ 明朝" w:hAnsi="ＭＳ 明朝"/>
          <w:color w:val="auto"/>
          <w:sz w:val="22"/>
        </w:rPr>
        <w:t>※文化協会員の高齢化等により事業が廃止となった。</w:t>
      </w:r>
    </w:p>
    <w:p>
      <w:pPr>
        <w:pStyle w:val="0"/>
        <w:rPr>
          <w:rFonts w:hint="default" w:ascii="ＭＳ 明朝" w:hAnsi="ＭＳ 明朝"/>
          <w:b w:val="1"/>
          <w:color w:val="auto"/>
          <w:highlight w:val="none"/>
        </w:rPr>
      </w:pPr>
      <w:r>
        <w:rPr>
          <w:rFonts w:hint="eastAsia" w:ascii="ＭＳ 明朝" w:hAnsi="ＭＳ 明朝"/>
          <w:b w:val="1"/>
          <w:color w:val="auto"/>
          <w:highlight w:val="none"/>
        </w:rPr>
        <w:t>第４章　スポーツの振興</w:t>
      </w:r>
    </w:p>
    <w:p>
      <w:pPr>
        <w:pStyle w:val="0"/>
        <w:rPr>
          <w:rFonts w:hint="default" w:ascii="ＭＳ 明朝" w:hAnsi="ＭＳ 明朝"/>
          <w:color w:val="auto"/>
          <w:highlight w:val="none"/>
        </w:rPr>
      </w:pPr>
      <w:r>
        <w:rPr>
          <w:rFonts w:hint="default" w:ascii="ＭＳ 明朝" w:hAnsi="ＭＳ 明朝"/>
          <w:b w:val="1"/>
          <w:color w:val="auto"/>
          <w:highlight w:val="none"/>
        </w:rPr>
        <w:t>➊</w:t>
      </w:r>
      <w:r>
        <w:rPr>
          <w:rFonts w:hint="eastAsia" w:ascii="ＭＳ 明朝" w:hAnsi="ＭＳ 明朝"/>
          <w:b w:val="1"/>
          <w:color w:val="auto"/>
          <w:highlight w:val="none"/>
        </w:rPr>
        <w:t>　スポーツ活動の普及</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【事務・事業の概要】</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１　目的及び効果</w:t>
      </w:r>
    </w:p>
    <w:p>
      <w:pPr>
        <w:pStyle w:val="0"/>
        <w:ind w:left="220" w:hanging="220" w:hangingChars="100"/>
        <w:rPr>
          <w:rFonts w:hint="default" w:ascii="ＭＳ 明朝" w:hAnsi="ＭＳ 明朝"/>
          <w:color w:val="auto"/>
          <w:sz w:val="22"/>
          <w:highlight w:val="none"/>
        </w:rPr>
      </w:pPr>
      <w:r>
        <w:rPr>
          <w:rFonts w:hint="eastAsia" w:ascii="ＭＳ 明朝" w:hAnsi="ＭＳ 明朝"/>
          <w:color w:val="auto"/>
          <w:sz w:val="22"/>
          <w:highlight w:val="none"/>
        </w:rPr>
        <w:t>　　町民一人１スポーツの実践を目標に、すべての町民が生涯にわたって、それぞれの年齢や体力に応じたスポーツ活動を通して、健康・体力の維持増進を図る。</w:t>
      </w:r>
    </w:p>
    <w:p>
      <w:pPr>
        <w:pStyle w:val="0"/>
        <w:rPr>
          <w:rFonts w:hint="default" w:ascii="ＭＳ 明朝" w:hAnsi="ＭＳ 明朝"/>
          <w:color w:val="auto"/>
          <w:sz w:val="22"/>
          <w:highlight w:val="none"/>
        </w:rPr>
      </w:pPr>
      <w:r>
        <w:rPr>
          <w:rFonts w:hint="eastAsia" w:ascii="ＭＳ 明朝" w:hAnsi="ＭＳ 明朝"/>
          <w:b w:val="1"/>
          <w:color w:val="auto"/>
          <w:sz w:val="22"/>
          <w:highlight w:val="none"/>
        </w:rPr>
        <w:t>２　事業主体</w:t>
      </w:r>
    </w:p>
    <w:p>
      <w:pPr>
        <w:pStyle w:val="0"/>
        <w:rPr>
          <w:rFonts w:hint="default" w:ascii="ＭＳ 明朝" w:hAnsi="ＭＳ 明朝"/>
          <w:color w:val="auto"/>
          <w:sz w:val="22"/>
          <w:highlight w:val="none"/>
        </w:rPr>
      </w:pPr>
      <w:r>
        <w:rPr>
          <w:rFonts w:hint="eastAsia" w:ascii="ＭＳ 明朝" w:hAnsi="ＭＳ 明朝"/>
          <w:color w:val="auto"/>
          <w:sz w:val="22"/>
          <w:highlight w:val="none"/>
        </w:rPr>
        <w:t>　　生涯学習課</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３　事業内容及び状況</w:t>
      </w:r>
    </w:p>
    <w:p>
      <w:pPr>
        <w:pStyle w:val="0"/>
        <w:jc w:val="left"/>
        <w:rPr>
          <w:rFonts w:hint="default" w:ascii="ＭＳ 明朝" w:hAnsi="ＭＳ 明朝"/>
          <w:color w:val="auto"/>
          <w:sz w:val="22"/>
          <w:highlight w:val="none"/>
        </w:rPr>
      </w:pPr>
      <w:r>
        <w:rPr>
          <w:rFonts w:hint="eastAsia" w:ascii="ＭＳ 明朝" w:hAnsi="ＭＳ 明朝"/>
          <w:color w:val="auto"/>
          <w:sz w:val="22"/>
          <w:highlight w:val="none"/>
        </w:rPr>
        <w:t>　</w:t>
      </w:r>
      <w:r>
        <w:rPr>
          <w:rFonts w:hint="eastAsia" w:ascii="ＭＳ 明朝" w:hAnsi="ＭＳ 明朝"/>
          <w:color w:val="auto"/>
          <w:sz w:val="22"/>
          <w:highlight w:val="none"/>
        </w:rPr>
        <w:t>(</w:t>
      </w:r>
      <w:r>
        <w:rPr>
          <w:rFonts w:hint="eastAsia" w:ascii="ＭＳ 明朝" w:hAnsi="ＭＳ 明朝"/>
          <w:color w:val="auto"/>
          <w:sz w:val="22"/>
          <w:highlight w:val="none"/>
        </w:rPr>
        <w:t>１</w:t>
      </w:r>
      <w:r>
        <w:rPr>
          <w:rFonts w:hint="eastAsia" w:ascii="ＭＳ 明朝" w:hAnsi="ＭＳ 明朝"/>
          <w:color w:val="auto"/>
          <w:sz w:val="22"/>
          <w:highlight w:val="none"/>
        </w:rPr>
        <w:t>)</w:t>
      </w:r>
      <w:r>
        <w:rPr>
          <w:rFonts w:hint="eastAsia" w:ascii="ＭＳ 明朝" w:hAnsi="ＭＳ 明朝"/>
          <w:color w:val="auto"/>
          <w:sz w:val="22"/>
          <w:highlight w:val="none"/>
        </w:rPr>
        <w:t>　</w:t>
      </w:r>
      <w:r>
        <w:rPr>
          <w:rFonts w:hint="eastAsia" w:ascii="ＭＳ 明朝" w:hAnsi="ＭＳ 明朝"/>
          <w:color w:val="auto"/>
          <w:sz w:val="22"/>
        </w:rPr>
        <w:t>町政７０周年第４３回</w:t>
      </w:r>
      <w:r>
        <w:rPr>
          <w:rFonts w:hint="eastAsia" w:ascii="ＭＳ 明朝" w:hAnsi="ＭＳ 明朝"/>
          <w:color w:val="auto"/>
          <w:sz w:val="22"/>
        </w:rPr>
        <w:t>NISSAN</w:t>
      </w:r>
      <w:r>
        <w:rPr>
          <w:rFonts w:hint="eastAsia" w:ascii="ＭＳ 明朝" w:hAnsi="ＭＳ 明朝"/>
          <w:color w:val="auto"/>
          <w:sz w:val="22"/>
        </w:rPr>
        <w:t>しらさぎマラソン大会</w:t>
      </w:r>
      <w:r>
        <w:rPr>
          <w:rFonts w:hint="eastAsia" w:ascii="ＭＳ 明朝" w:hAnsi="ＭＳ 明朝"/>
          <w:color w:val="auto"/>
          <w:sz w:val="22"/>
          <w:highlight w:val="none"/>
        </w:rPr>
        <w:t>in</w:t>
      </w:r>
      <w:r>
        <w:rPr>
          <w:rFonts w:hint="eastAsia" w:ascii="ＭＳ 明朝" w:hAnsi="ＭＳ 明朝"/>
          <w:color w:val="auto"/>
          <w:sz w:val="22"/>
          <w:highlight w:val="none"/>
        </w:rPr>
        <w:t>上三川</w:t>
      </w:r>
    </w:p>
    <w:p>
      <w:pPr>
        <w:pStyle w:val="0"/>
        <w:ind w:left="660" w:hanging="660" w:hangingChars="300"/>
        <w:jc w:val="left"/>
        <w:rPr>
          <w:rFonts w:hint="default" w:ascii="ＭＳ 明朝" w:hAnsi="ＭＳ 明朝"/>
          <w:color w:val="auto"/>
          <w:sz w:val="22"/>
          <w:highlight w:val="none"/>
        </w:rPr>
      </w:pPr>
      <w:r>
        <w:rPr>
          <w:rFonts w:hint="eastAsia" w:ascii="ＭＳ 明朝" w:hAnsi="ＭＳ 明朝"/>
          <w:color w:val="auto"/>
          <w:sz w:val="22"/>
          <w:highlight w:val="none"/>
        </w:rPr>
        <w:t>　　　　</w:t>
      </w:r>
      <w:r>
        <w:rPr>
          <w:rFonts w:hint="eastAsia" w:ascii="ＭＳ 明朝" w:hAnsi="ＭＳ 明朝"/>
          <w:color w:val="auto"/>
          <w:sz w:val="22"/>
        </w:rPr>
        <w:t>長距離走愛好者と小中学生等の健康増進と交流促進を図るため、中学生高校生ボランティアの協力を得て</w:t>
      </w:r>
      <w:r>
        <w:rPr>
          <w:rFonts w:hint="default" w:ascii="ＭＳ 明朝" w:hAnsi="ＭＳ 明朝"/>
          <w:color w:val="auto"/>
          <w:sz w:val="22"/>
        </w:rPr>
        <w:t>NISSAN</w:t>
      </w:r>
      <w:r>
        <w:rPr>
          <w:rFonts w:hint="eastAsia" w:ascii="ＭＳ 明朝" w:hAnsi="ＭＳ 明朝"/>
          <w:color w:val="auto"/>
          <w:sz w:val="22"/>
        </w:rPr>
        <w:t>しらさぎマラソン大会</w:t>
      </w:r>
      <w:r>
        <w:rPr>
          <w:rFonts w:hint="eastAsia" w:ascii="ＭＳ 明朝" w:hAnsi="ＭＳ 明朝"/>
          <w:color w:val="auto"/>
          <w:sz w:val="22"/>
          <w:highlight w:val="none"/>
        </w:rPr>
        <w:t>in</w:t>
      </w:r>
      <w:r>
        <w:rPr>
          <w:rFonts w:hint="eastAsia" w:ascii="ＭＳ 明朝" w:hAnsi="ＭＳ 明朝"/>
          <w:color w:val="auto"/>
          <w:sz w:val="22"/>
          <w:highlight w:val="none"/>
        </w:rPr>
        <w:t>上三川を開催した。参加者数：</w:t>
      </w:r>
      <w:r>
        <w:rPr>
          <w:rFonts w:hint="eastAsia" w:ascii="ＭＳ 明朝" w:hAnsi="ＭＳ 明朝"/>
          <w:color w:val="auto"/>
          <w:sz w:val="22"/>
        </w:rPr>
        <w:t>１</w:t>
      </w:r>
      <w:r>
        <w:rPr>
          <w:rFonts w:hint="eastAsia" w:ascii="ＭＳ 明朝" w:hAnsi="ＭＳ 明朝"/>
          <w:color w:val="auto"/>
          <w:sz w:val="22"/>
        </w:rPr>
        <w:t>,</w:t>
      </w:r>
      <w:r>
        <w:rPr>
          <w:rFonts w:hint="eastAsia" w:ascii="ＭＳ 明朝" w:hAnsi="ＭＳ 明朝"/>
          <w:color w:val="auto"/>
          <w:sz w:val="22"/>
        </w:rPr>
        <w:t>１３３</w:t>
      </w:r>
      <w:r>
        <w:rPr>
          <w:rFonts w:hint="eastAsia" w:ascii="ＭＳ 明朝" w:hAnsi="ＭＳ 明朝"/>
          <w:color w:val="auto"/>
          <w:sz w:val="22"/>
          <w:highlight w:val="none"/>
        </w:rPr>
        <w:t>名。</w:t>
      </w:r>
    </w:p>
    <w:p>
      <w:pPr>
        <w:pStyle w:val="0"/>
        <w:jc w:val="left"/>
        <w:rPr>
          <w:rFonts w:hint="default" w:ascii="ＭＳ 明朝" w:hAnsi="ＭＳ 明朝"/>
          <w:color w:val="auto"/>
          <w:sz w:val="22"/>
          <w:highlight w:val="none"/>
        </w:rPr>
      </w:pPr>
      <w:r>
        <w:rPr>
          <w:rFonts w:hint="eastAsia" w:ascii="ＭＳ 明朝" w:hAnsi="ＭＳ 明朝"/>
          <w:color w:val="auto"/>
          <w:sz w:val="22"/>
          <w:highlight w:val="none"/>
        </w:rPr>
        <w:t>　</w:t>
      </w:r>
      <w:r>
        <w:rPr>
          <w:rFonts w:hint="eastAsia" w:ascii="ＭＳ 明朝" w:hAnsi="ＭＳ 明朝"/>
          <w:color w:val="auto"/>
          <w:sz w:val="22"/>
          <w:highlight w:val="none"/>
        </w:rPr>
        <w:t>(</w:t>
      </w:r>
      <w:r>
        <w:rPr>
          <w:rFonts w:hint="eastAsia" w:ascii="ＭＳ 明朝" w:hAnsi="ＭＳ 明朝"/>
          <w:color w:val="auto"/>
          <w:sz w:val="22"/>
          <w:highlight w:val="none"/>
        </w:rPr>
        <w:t>２</w:t>
      </w:r>
      <w:r>
        <w:rPr>
          <w:rFonts w:hint="eastAsia" w:ascii="ＭＳ 明朝" w:hAnsi="ＭＳ 明朝"/>
          <w:color w:val="auto"/>
          <w:sz w:val="22"/>
          <w:highlight w:val="none"/>
        </w:rPr>
        <w:t>)</w:t>
      </w:r>
      <w:r>
        <w:rPr>
          <w:rFonts w:hint="eastAsia" w:ascii="ＭＳ 明朝" w:hAnsi="ＭＳ 明朝"/>
          <w:color w:val="auto"/>
          <w:sz w:val="22"/>
          <w:highlight w:val="none"/>
        </w:rPr>
        <w:t>　</w:t>
      </w:r>
      <w:r>
        <w:rPr>
          <w:rFonts w:hint="eastAsia" w:ascii="ＭＳ 明朝" w:hAnsi="ＭＳ 明朝"/>
          <w:color w:val="auto"/>
          <w:sz w:val="22"/>
        </w:rPr>
        <w:t>町政７０周年第２７回</w:t>
      </w:r>
      <w:r>
        <w:rPr>
          <w:rFonts w:hint="default" w:ascii="ＭＳ 明朝" w:hAnsi="ＭＳ 明朝"/>
          <w:color w:val="auto"/>
          <w:sz w:val="22"/>
          <w:highlight w:val="none"/>
        </w:rPr>
        <w:t>NISSAN</w:t>
      </w:r>
      <w:r>
        <w:rPr>
          <w:rFonts w:hint="eastAsia" w:ascii="ＭＳ 明朝" w:hAnsi="ＭＳ 明朝"/>
          <w:color w:val="auto"/>
          <w:sz w:val="22"/>
          <w:highlight w:val="none"/>
        </w:rPr>
        <w:t>しらさぎ駅伝競走大会</w:t>
      </w:r>
    </w:p>
    <w:p>
      <w:pPr>
        <w:pStyle w:val="0"/>
        <w:ind w:left="660" w:hanging="660" w:hangingChars="300"/>
        <w:jc w:val="left"/>
        <w:rPr>
          <w:rFonts w:hint="default" w:ascii="ＭＳ 明朝" w:hAnsi="ＭＳ 明朝"/>
          <w:color w:val="auto"/>
          <w:sz w:val="22"/>
          <w:highlight w:val="none"/>
        </w:rPr>
      </w:pPr>
      <w:r>
        <w:rPr>
          <w:rFonts w:hint="eastAsia" w:ascii="ＭＳ 明朝" w:hAnsi="ＭＳ 明朝"/>
          <w:color w:val="auto"/>
          <w:sz w:val="22"/>
          <w:highlight w:val="none"/>
        </w:rPr>
        <w:t>　　　　町内全域をタスキでつなぐ、</w:t>
      </w:r>
      <w:r>
        <w:rPr>
          <w:rFonts w:hint="default" w:ascii="ＭＳ 明朝" w:hAnsi="ＭＳ 明朝"/>
          <w:color w:val="auto"/>
          <w:sz w:val="22"/>
          <w:highlight w:val="none"/>
        </w:rPr>
        <w:t>NISSAN</w:t>
      </w:r>
      <w:r>
        <w:rPr>
          <w:rFonts w:hint="eastAsia" w:ascii="ＭＳ 明朝" w:hAnsi="ＭＳ 明朝"/>
          <w:color w:val="auto"/>
          <w:sz w:val="22"/>
          <w:highlight w:val="none"/>
        </w:rPr>
        <w:t>しらさぎ駅伝競走大会を開催した。参加チーム数：４０チーム。</w:t>
      </w:r>
    </w:p>
    <w:p>
      <w:pPr>
        <w:pStyle w:val="0"/>
        <w:jc w:val="left"/>
        <w:rPr>
          <w:rFonts w:hint="default" w:ascii="ＭＳ 明朝" w:hAnsi="ＭＳ 明朝"/>
          <w:color w:val="auto"/>
          <w:sz w:val="22"/>
          <w:highlight w:val="none"/>
        </w:rPr>
      </w:pPr>
      <w:r>
        <w:rPr>
          <w:rFonts w:hint="eastAsia" w:ascii="ＭＳ 明朝" w:hAnsi="ＭＳ 明朝"/>
          <w:color w:val="auto"/>
          <w:sz w:val="22"/>
          <w:highlight w:val="none"/>
        </w:rPr>
        <w:t>　</w:t>
      </w:r>
      <w:r>
        <w:rPr>
          <w:rFonts w:hint="eastAsia" w:ascii="ＭＳ 明朝" w:hAnsi="ＭＳ 明朝"/>
          <w:color w:val="auto"/>
          <w:sz w:val="22"/>
          <w:highlight w:val="none"/>
        </w:rPr>
        <w:t>(</w:t>
      </w:r>
      <w:r>
        <w:rPr>
          <w:rFonts w:hint="eastAsia" w:ascii="ＭＳ 明朝" w:hAnsi="ＭＳ 明朝"/>
          <w:color w:val="auto"/>
          <w:sz w:val="22"/>
          <w:highlight w:val="none"/>
        </w:rPr>
        <w:t>３</w:t>
      </w:r>
      <w:r>
        <w:rPr>
          <w:rFonts w:hint="eastAsia" w:ascii="ＭＳ 明朝" w:hAnsi="ＭＳ 明朝"/>
          <w:color w:val="auto"/>
          <w:sz w:val="22"/>
          <w:highlight w:val="none"/>
        </w:rPr>
        <w:t>)</w:t>
      </w:r>
      <w:r>
        <w:rPr>
          <w:rFonts w:hint="eastAsia" w:ascii="ＭＳ 明朝" w:hAnsi="ＭＳ 明朝"/>
          <w:color w:val="auto"/>
          <w:sz w:val="22"/>
          <w:highlight w:val="none"/>
        </w:rPr>
        <w:t>　</w:t>
      </w:r>
      <w:r>
        <w:rPr>
          <w:rFonts w:hint="eastAsia" w:ascii="ＭＳ 明朝" w:hAnsi="ＭＳ 明朝"/>
          <w:color w:val="auto"/>
          <w:sz w:val="22"/>
        </w:rPr>
        <w:t>町政７０周年第１６回</w:t>
      </w:r>
      <w:r>
        <w:rPr>
          <w:rFonts w:hint="eastAsia" w:ascii="ＭＳ 明朝" w:hAnsi="ＭＳ 明朝"/>
          <w:color w:val="auto"/>
          <w:sz w:val="22"/>
          <w:highlight w:val="none"/>
        </w:rPr>
        <w:t>町民スポーツ・レクリエーション祭</w:t>
      </w:r>
    </w:p>
    <w:p>
      <w:pPr>
        <w:pStyle w:val="0"/>
        <w:ind w:left="720" w:leftChars="300" w:firstLine="220" w:firstLineChars="100"/>
        <w:jc w:val="left"/>
        <w:rPr>
          <w:rFonts w:hint="default" w:ascii="ＭＳ 明朝" w:hAnsi="ＭＳ 明朝"/>
          <w:color w:val="auto"/>
          <w:sz w:val="22"/>
          <w:highlight w:val="none"/>
        </w:rPr>
      </w:pPr>
      <w:r>
        <w:rPr>
          <w:rFonts w:hint="eastAsia" w:ascii="ＭＳ 明朝" w:hAnsi="ＭＳ 明朝"/>
          <w:color w:val="auto"/>
          <w:sz w:val="22"/>
          <w:highlight w:val="none"/>
        </w:rPr>
        <w:t>町民一人</w:t>
      </w:r>
      <w:r>
        <w:rPr>
          <w:rFonts w:hint="eastAsia" w:ascii="ＭＳ 明朝" w:hAnsi="ＭＳ 明朝"/>
          <w:color w:val="auto"/>
          <w:sz w:val="22"/>
          <w:highlight w:val="none"/>
        </w:rPr>
        <w:t>1</w:t>
      </w:r>
      <w:r>
        <w:rPr>
          <w:rFonts w:hint="eastAsia" w:ascii="ＭＳ 明朝" w:hAnsi="ＭＳ 明朝"/>
          <w:color w:val="auto"/>
          <w:sz w:val="22"/>
          <w:highlight w:val="none"/>
        </w:rPr>
        <w:t>スポーツの実践を目標に、誰もが気軽にスポーツ・レクリエーション活動を楽しみ、さらに健康・体力の維持増進と地域の交流、地域の活性化を図るため、中学生ボランティアの協力を得て町民スポーツ・レクリエーション祭を開催した。参加者数：</w:t>
      </w:r>
      <w:r>
        <w:rPr>
          <w:rFonts w:hint="eastAsia" w:ascii="ＭＳ 明朝" w:hAnsi="ＭＳ 明朝"/>
          <w:color w:val="auto"/>
          <w:sz w:val="22"/>
        </w:rPr>
        <w:t>１</w:t>
      </w:r>
      <w:r>
        <w:rPr>
          <w:rFonts w:hint="eastAsia" w:ascii="ＭＳ 明朝" w:hAnsi="ＭＳ 明朝"/>
          <w:color w:val="auto"/>
          <w:sz w:val="22"/>
        </w:rPr>
        <w:t>,</w:t>
      </w:r>
      <w:r>
        <w:rPr>
          <w:rFonts w:hint="eastAsia" w:ascii="ＭＳ 明朝" w:hAnsi="ＭＳ 明朝"/>
          <w:color w:val="auto"/>
          <w:sz w:val="22"/>
        </w:rPr>
        <w:t>４６１</w:t>
      </w:r>
      <w:r>
        <w:rPr>
          <w:rFonts w:hint="eastAsia" w:ascii="ＭＳ 明朝" w:hAnsi="ＭＳ 明朝"/>
          <w:color w:val="auto"/>
          <w:sz w:val="22"/>
          <w:highlight w:val="none"/>
        </w:rPr>
        <w:t>名。</w:t>
      </w:r>
    </w:p>
    <w:p>
      <w:pPr>
        <w:pStyle w:val="0"/>
        <w:ind w:firstLine="220"/>
        <w:jc w:val="left"/>
        <w:rPr>
          <w:rFonts w:hint="default" w:ascii="ＭＳ 明朝" w:hAnsi="ＭＳ 明朝"/>
          <w:color w:val="auto"/>
          <w:sz w:val="22"/>
          <w:highlight w:val="none"/>
        </w:rPr>
      </w:pPr>
      <w:r>
        <w:rPr>
          <w:rFonts w:hint="eastAsia" w:ascii="ＭＳ 明朝" w:hAnsi="ＭＳ 明朝"/>
          <w:color w:val="auto"/>
          <w:sz w:val="22"/>
          <w:highlight w:val="none"/>
        </w:rPr>
        <w:t>(</w:t>
      </w:r>
      <w:r>
        <w:rPr>
          <w:rFonts w:hint="eastAsia" w:ascii="ＭＳ 明朝" w:hAnsi="ＭＳ 明朝"/>
          <w:color w:val="auto"/>
          <w:sz w:val="22"/>
          <w:highlight w:val="none"/>
        </w:rPr>
        <w:t>４</w:t>
      </w:r>
      <w:r>
        <w:rPr>
          <w:rFonts w:hint="eastAsia" w:ascii="ＭＳ 明朝" w:hAnsi="ＭＳ 明朝"/>
          <w:color w:val="auto"/>
          <w:sz w:val="22"/>
          <w:highlight w:val="none"/>
        </w:rPr>
        <w:t>)</w:t>
      </w:r>
      <w:r>
        <w:rPr>
          <w:rFonts w:hint="eastAsia" w:ascii="ＭＳ 明朝" w:hAnsi="ＭＳ 明朝"/>
          <w:color w:val="auto"/>
          <w:sz w:val="22"/>
          <w:highlight w:val="none"/>
        </w:rPr>
        <w:t>　フェンシング競技の普及啓発</w:t>
      </w:r>
    </w:p>
    <w:p>
      <w:pPr>
        <w:pStyle w:val="0"/>
        <w:ind w:left="720" w:leftChars="300" w:firstLine="220" w:firstLineChars="100"/>
        <w:jc w:val="left"/>
        <w:rPr>
          <w:rFonts w:hint="default" w:ascii="ＭＳ 明朝" w:hAnsi="ＭＳ 明朝"/>
          <w:color w:val="auto"/>
          <w:sz w:val="22"/>
          <w:highlight w:val="none"/>
        </w:rPr>
      </w:pPr>
      <w:r>
        <w:rPr>
          <w:rFonts w:hint="eastAsia" w:ascii="ＭＳ 明朝" w:hAnsi="ＭＳ 明朝"/>
          <w:color w:val="auto"/>
          <w:sz w:val="22"/>
          <w:highlight w:val="none"/>
        </w:rPr>
        <w:t>令和４年に開催されたいちご一会とちぎ国体のレガシー継承事業として、本町において開催されたフェンシング競技の普及を目的に、フェンシング教室を今後も継続し啓発を図っていく。</w:t>
      </w:r>
    </w:p>
    <w:p>
      <w:pPr>
        <w:pStyle w:val="0"/>
        <w:jc w:val="left"/>
        <w:rPr>
          <w:rFonts w:hint="default" w:ascii="ＭＳ 明朝" w:hAnsi="ＭＳ 明朝"/>
          <w:color w:val="auto"/>
          <w:sz w:val="22"/>
          <w:highlight w:val="none"/>
        </w:rPr>
      </w:pPr>
      <w:r>
        <w:rPr>
          <w:rFonts w:hint="eastAsia" w:ascii="ＭＳ 明朝" w:hAnsi="ＭＳ 明朝"/>
          <w:color w:val="auto"/>
          <w:sz w:val="22"/>
          <w:highlight w:val="none"/>
        </w:rPr>
        <w:t>　</w:t>
      </w:r>
      <w:r>
        <w:rPr>
          <w:rFonts w:hint="eastAsia" w:ascii="ＭＳ 明朝" w:hAnsi="ＭＳ 明朝"/>
          <w:color w:val="auto"/>
          <w:sz w:val="22"/>
          <w:highlight w:val="none"/>
        </w:rPr>
        <w:t>(</w:t>
      </w:r>
      <w:r>
        <w:rPr>
          <w:rFonts w:hint="eastAsia" w:ascii="ＭＳ 明朝" w:hAnsi="ＭＳ 明朝"/>
          <w:color w:val="auto"/>
          <w:sz w:val="22"/>
          <w:highlight w:val="none"/>
        </w:rPr>
        <w:t>５</w:t>
      </w:r>
      <w:r>
        <w:rPr>
          <w:rFonts w:hint="eastAsia" w:ascii="ＭＳ 明朝" w:hAnsi="ＭＳ 明朝"/>
          <w:color w:val="auto"/>
          <w:sz w:val="22"/>
          <w:highlight w:val="none"/>
        </w:rPr>
        <w:t>)</w:t>
      </w:r>
      <w:r>
        <w:rPr>
          <w:rFonts w:hint="eastAsia" w:ascii="ＭＳ 明朝" w:hAnsi="ＭＳ 明朝"/>
          <w:color w:val="auto"/>
          <w:sz w:val="22"/>
          <w:highlight w:val="none"/>
        </w:rPr>
        <w:t>　種目別スポーツ活動の振興</w:t>
      </w:r>
    </w:p>
    <w:p>
      <w:pPr>
        <w:pStyle w:val="0"/>
        <w:ind w:left="720" w:leftChars="300" w:firstLine="220" w:firstLineChars="100"/>
        <w:jc w:val="left"/>
        <w:rPr>
          <w:rFonts w:hint="default" w:ascii="ＭＳ 明朝" w:hAnsi="ＭＳ 明朝"/>
          <w:color w:val="auto"/>
          <w:sz w:val="22"/>
          <w:highlight w:val="none"/>
        </w:rPr>
      </w:pPr>
      <w:r>
        <w:rPr>
          <w:rFonts w:hint="eastAsia" w:ascii="ＭＳ 明朝" w:hAnsi="ＭＳ 明朝"/>
          <w:color w:val="auto"/>
          <w:sz w:val="22"/>
          <w:highlight w:val="none"/>
        </w:rPr>
        <w:t>総合型地域スポーツクラブ「かみスポクラブ」への支援、スポーツ協会への活動費の補助、また、全国大会等出場選手への激励金交付を実施した。</w:t>
      </w:r>
    </w:p>
    <w:p>
      <w:pPr>
        <w:pStyle w:val="0"/>
        <w:rPr>
          <w:rFonts w:hint="default" w:ascii="ＭＳ 明朝" w:hAnsi="ＭＳ 明朝"/>
          <w:color w:val="auto"/>
          <w:sz w:val="22"/>
          <w:highlight w:val="none"/>
        </w:rPr>
      </w:pPr>
      <w:r>
        <w:rPr>
          <w:rFonts w:hint="eastAsia" w:ascii="ＭＳ 明朝" w:hAnsi="ＭＳ 明朝"/>
          <w:b w:val="1"/>
          <w:color w:val="auto"/>
          <w:sz w:val="22"/>
          <w:highlight w:val="none"/>
        </w:rPr>
        <w:t>【決算額】</w:t>
      </w:r>
    </w:p>
    <w:p>
      <w:pPr>
        <w:pStyle w:val="0"/>
        <w:rPr>
          <w:rFonts w:hint="default" w:ascii="ＭＳ 明朝" w:hAnsi="ＭＳ 明朝"/>
          <w:color w:val="auto"/>
          <w:sz w:val="22"/>
          <w:highlight w:val="none"/>
        </w:rPr>
      </w:pPr>
      <w:r>
        <w:rPr>
          <w:rFonts w:hint="eastAsia" w:ascii="ＭＳ 明朝" w:hAnsi="ＭＳ 明朝"/>
          <w:color w:val="auto"/>
          <w:sz w:val="22"/>
          <w:highlight w:val="none"/>
        </w:rPr>
        <w:t>　　第１０款　教育費　第５項　保健体育費　１目　保健体育総務費　</w:t>
      </w:r>
    </w:p>
    <w:p>
      <w:pPr>
        <w:pStyle w:val="0"/>
        <w:rPr>
          <w:rFonts w:hint="default" w:ascii="ＭＳ 明朝" w:hAnsi="ＭＳ 明朝"/>
          <w:color w:val="auto"/>
          <w:sz w:val="21"/>
          <w:highlight w:val="none"/>
        </w:rPr>
      </w:pPr>
      <w:r>
        <w:rPr>
          <w:rFonts w:hint="eastAsia" w:ascii="ＭＳ 明朝" w:hAnsi="ＭＳ 明朝"/>
          <w:color w:val="auto"/>
          <w:sz w:val="22"/>
          <w:highlight w:val="none"/>
        </w:rPr>
        <w:t>　　</w:t>
      </w:r>
      <w:r>
        <w:rPr>
          <w:rFonts w:hint="eastAsia" w:ascii="ＭＳ 明朝" w:hAnsi="ＭＳ 明朝"/>
          <w:color w:val="auto"/>
          <w:sz w:val="21"/>
          <w:highlight w:val="none"/>
        </w:rPr>
        <w:t>　しらさぎマラソン大会実行委員会補助金　</w:t>
      </w:r>
      <w:r>
        <w:rPr>
          <w:rFonts w:hint="eastAsia" w:ascii="ＭＳ 明朝" w:hAnsi="ＭＳ 明朝"/>
          <w:color w:val="auto"/>
          <w:sz w:val="21"/>
        </w:rPr>
        <w:t>３</w:t>
      </w:r>
      <w:r>
        <w:rPr>
          <w:rFonts w:hint="eastAsia" w:ascii="ＭＳ 明朝" w:hAnsi="ＭＳ 明朝"/>
          <w:color w:val="auto"/>
          <w:sz w:val="21"/>
        </w:rPr>
        <w:t>,</w:t>
      </w:r>
      <w:r>
        <w:rPr>
          <w:rFonts w:hint="eastAsia" w:ascii="ＭＳ 明朝" w:hAnsi="ＭＳ 明朝"/>
          <w:color w:val="auto"/>
          <w:sz w:val="21"/>
        </w:rPr>
        <w:t>１１４</w:t>
      </w:r>
      <w:r>
        <w:rPr>
          <w:rFonts w:hint="eastAsia" w:ascii="ＭＳ 明朝" w:hAnsi="ＭＳ 明朝"/>
          <w:color w:val="auto"/>
          <w:sz w:val="21"/>
          <w:highlight w:val="none"/>
        </w:rPr>
        <w:t>千円</w:t>
      </w:r>
    </w:p>
    <w:p>
      <w:pPr>
        <w:pStyle w:val="0"/>
        <w:rPr>
          <w:rFonts w:hint="default" w:ascii="ＭＳ 明朝" w:hAnsi="ＭＳ 明朝"/>
          <w:color w:val="auto"/>
          <w:sz w:val="21"/>
          <w:highlight w:val="none"/>
        </w:rPr>
      </w:pPr>
      <w:r>
        <w:rPr>
          <w:rFonts w:hint="eastAsia" w:ascii="ＭＳ 明朝" w:hAnsi="ＭＳ 明朝"/>
          <w:color w:val="auto"/>
          <w:sz w:val="21"/>
          <w:highlight w:val="none"/>
        </w:rPr>
        <w:t>　　　しらさぎ駅伝競走大会実行委員会補助金　</w:t>
      </w:r>
      <w:r>
        <w:rPr>
          <w:rFonts w:hint="eastAsia" w:ascii="ＭＳ 明朝" w:hAnsi="ＭＳ 明朝"/>
          <w:color w:val="auto"/>
          <w:sz w:val="21"/>
        </w:rPr>
        <w:t>１</w:t>
      </w:r>
      <w:r>
        <w:rPr>
          <w:rFonts w:hint="eastAsia" w:ascii="ＭＳ 明朝" w:hAnsi="ＭＳ 明朝"/>
          <w:color w:val="auto"/>
          <w:sz w:val="21"/>
        </w:rPr>
        <w:t>,</w:t>
      </w:r>
      <w:r>
        <w:rPr>
          <w:rFonts w:hint="eastAsia" w:ascii="ＭＳ 明朝" w:hAnsi="ＭＳ 明朝"/>
          <w:color w:val="auto"/>
          <w:sz w:val="21"/>
        </w:rPr>
        <w:t>２９６</w:t>
      </w:r>
      <w:r>
        <w:rPr>
          <w:rFonts w:hint="eastAsia" w:ascii="ＭＳ 明朝" w:hAnsi="ＭＳ 明朝"/>
          <w:color w:val="auto"/>
          <w:sz w:val="21"/>
          <w:highlight w:val="none"/>
        </w:rPr>
        <w:t>千円</w:t>
      </w:r>
    </w:p>
    <w:p>
      <w:pPr>
        <w:pStyle w:val="0"/>
        <w:rPr>
          <w:rFonts w:hint="default" w:ascii="ＭＳ 明朝" w:hAnsi="ＭＳ 明朝"/>
          <w:color w:val="auto"/>
          <w:sz w:val="22"/>
          <w:highlight w:val="none"/>
        </w:rPr>
      </w:pPr>
      <w:r>
        <w:rPr>
          <w:rFonts w:hint="eastAsia" w:ascii="ＭＳ 明朝" w:hAnsi="ＭＳ 明朝"/>
          <w:color w:val="auto"/>
          <w:sz w:val="22"/>
          <w:highlight w:val="none"/>
        </w:rPr>
        <w:t>　　第１０款　教育費　第５項　保健体育費　２目　体育振興費　</w:t>
      </w:r>
      <w:r>
        <w:rPr>
          <w:rFonts w:hint="eastAsia" w:ascii="ＭＳ 明朝" w:hAnsi="ＭＳ 明朝"/>
          <w:color w:val="auto"/>
          <w:sz w:val="22"/>
        </w:rPr>
        <w:t>３</w:t>
      </w:r>
      <w:r>
        <w:rPr>
          <w:rFonts w:hint="eastAsia" w:ascii="ＭＳ 明朝" w:hAnsi="ＭＳ 明朝"/>
          <w:color w:val="auto"/>
          <w:sz w:val="22"/>
        </w:rPr>
        <w:t>,</w:t>
      </w:r>
      <w:r>
        <w:rPr>
          <w:rFonts w:hint="eastAsia" w:ascii="ＭＳ 明朝" w:hAnsi="ＭＳ 明朝"/>
          <w:color w:val="auto"/>
          <w:sz w:val="22"/>
        </w:rPr>
        <w:t>３５８</w:t>
      </w:r>
      <w:r>
        <w:rPr>
          <w:rFonts w:hint="eastAsia" w:ascii="ＭＳ 明朝" w:hAnsi="ＭＳ 明朝"/>
          <w:color w:val="auto"/>
          <w:sz w:val="22"/>
          <w:highlight w:val="none"/>
        </w:rPr>
        <w:t>千円</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【事業評価（自己評価）】</w:t>
      </w:r>
    </w:p>
    <w:p>
      <w:pPr>
        <w:pStyle w:val="0"/>
        <w:ind w:left="220" w:hanging="220" w:hangingChars="100"/>
        <w:rPr>
          <w:rFonts w:hint="default" w:ascii="ＭＳ 明朝" w:hAnsi="ＭＳ 明朝"/>
          <w:color w:val="auto"/>
          <w:sz w:val="22"/>
        </w:rPr>
      </w:pPr>
      <w:r>
        <w:rPr>
          <w:rFonts w:hint="eastAsia" w:ascii="ＭＳ 明朝" w:hAnsi="ＭＳ 明朝"/>
          <w:color w:val="auto"/>
          <w:sz w:val="22"/>
          <w:highlight w:val="none"/>
        </w:rPr>
        <w:t>　　</w:t>
      </w:r>
      <w:r>
        <w:rPr>
          <w:rFonts w:hint="eastAsia" w:ascii="ＭＳ 明朝" w:hAnsi="ＭＳ 明朝"/>
          <w:color w:val="auto"/>
          <w:sz w:val="22"/>
        </w:rPr>
        <w:t>しらさぎマラソン大会では、令和６年に増設したハーフマラソンコースの問題点の改善に取り組み、種目としての定着を図った。また参加者募集の周知エリア拡大に努め、町内外から様々な参加者層を集客することができた。</w:t>
      </w:r>
    </w:p>
    <w:p>
      <w:pPr>
        <w:pStyle w:val="0"/>
        <w:ind w:left="220" w:hanging="220" w:hangingChars="100"/>
        <w:rPr>
          <w:rFonts w:hint="default" w:ascii="ＭＳ 明朝" w:hAnsi="ＭＳ 明朝"/>
          <w:color w:val="auto"/>
          <w:sz w:val="22"/>
        </w:rPr>
      </w:pPr>
      <w:r>
        <w:rPr>
          <w:rFonts w:hint="eastAsia" w:ascii="ＭＳ 明朝" w:hAnsi="ＭＳ 明朝"/>
          <w:color w:val="auto"/>
          <w:sz w:val="22"/>
        </w:rPr>
        <w:t>　　しらさぎ駅伝競走大会では、一般道を走るという魅力があることから、上限を超える申し込みがあった。役員説明会に交通安全指導員を召集して意見を伺ったことや、立哨員の業務マニュアルを整備したことで、事故なく大会を開催できた。なお、今回の参加チーム数（</w:t>
      </w:r>
      <w:r>
        <w:rPr>
          <w:rFonts w:hint="eastAsia" w:ascii="ＭＳ 明朝" w:hAnsi="ＭＳ 明朝"/>
          <w:color w:val="auto"/>
          <w:sz w:val="22"/>
        </w:rPr>
        <w:t>4</w:t>
      </w:r>
      <w:r>
        <w:rPr>
          <w:rFonts w:hint="default" w:ascii="ＭＳ 明朝" w:hAnsi="ＭＳ 明朝"/>
          <w:color w:val="auto"/>
          <w:sz w:val="22"/>
        </w:rPr>
        <w:t>0</w:t>
      </w:r>
      <w:r>
        <w:rPr>
          <w:rFonts w:hint="eastAsia" w:ascii="ＭＳ 明朝" w:hAnsi="ＭＳ 明朝"/>
          <w:color w:val="auto"/>
          <w:sz w:val="22"/>
        </w:rPr>
        <w:t>チーム）が大会を開催できる上限であるため、今後もこの規模を維持できるようにしていきたい。</w:t>
      </w:r>
    </w:p>
    <w:p>
      <w:pPr>
        <w:pStyle w:val="0"/>
        <w:ind w:left="220" w:hanging="220" w:hangingChars="100"/>
        <w:rPr>
          <w:rFonts w:hint="default" w:ascii="ＭＳ 明朝" w:hAnsi="ＭＳ 明朝"/>
          <w:color w:val="auto"/>
          <w:sz w:val="22"/>
        </w:rPr>
      </w:pPr>
      <w:r>
        <w:rPr>
          <w:rFonts w:hint="eastAsia" w:ascii="ＭＳ 明朝" w:hAnsi="ＭＳ 明朝"/>
          <w:color w:val="auto"/>
          <w:sz w:val="22"/>
        </w:rPr>
        <w:t>　　町民スポーツ・レクリエーション祭では、ニュ－スポ－ツ体験の種目を一部変更しスタンプラリ－を取り入れた。また、乗馬体験とサッカ－フェスティバルを新たに加え参加者の増に繋がった。今後は、種目内容を検討し参加者増加を図りたい。</w:t>
      </w:r>
    </w:p>
    <w:p>
      <w:pPr>
        <w:pStyle w:val="0"/>
        <w:ind w:left="220" w:hanging="220" w:hangingChars="100"/>
        <w:rPr>
          <w:rFonts w:hint="default" w:ascii="ＭＳ 明朝" w:hAnsi="ＭＳ 明朝"/>
          <w:color w:val="auto"/>
          <w:sz w:val="22"/>
        </w:rPr>
      </w:pPr>
      <w:r>
        <w:rPr>
          <w:rFonts w:hint="eastAsia" w:ascii="ＭＳ 明朝" w:hAnsi="ＭＳ 明朝"/>
          <w:color w:val="auto"/>
          <w:sz w:val="22"/>
        </w:rPr>
        <w:t>　　フェンシング競技の普及啓発では、毎週木曜日にフェンシング教室を開催し、練習内容をこれまでより実践的なものに変更するなど教室全体の競技力の底上げを図った。</w:t>
      </w:r>
    </w:p>
    <w:p>
      <w:pPr>
        <w:pStyle w:val="0"/>
        <w:ind w:left="220" w:hanging="220" w:hangingChars="100"/>
        <w:rPr>
          <w:rFonts w:hint="default" w:ascii="ＭＳ 明朝" w:hAnsi="ＭＳ 明朝"/>
          <w:color w:val="auto"/>
          <w:sz w:val="22"/>
          <w:highlight w:val="none"/>
        </w:rPr>
      </w:pPr>
      <w:r>
        <w:rPr>
          <w:rFonts w:hint="eastAsia" w:ascii="ＭＳ 明朝" w:hAnsi="ＭＳ 明朝"/>
          <w:color w:val="auto"/>
          <w:sz w:val="22"/>
        </w:rPr>
        <w:t>かみスポクラブでは、ニーズにあった様々な教室・イベントが開催され、身近なところでいつでも・だれでも・いつまでもスポーツに親しめる生涯スポーツ社会の実現に努めており、活動内容等の周知について引き続き取り組んでいく。</w:t>
      </w:r>
    </w:p>
    <w:p>
      <w:pPr>
        <w:pStyle w:val="0"/>
        <w:ind w:left="221" w:hanging="221" w:hangingChars="100"/>
        <w:rPr>
          <w:rFonts w:hint="default" w:ascii="ＭＳ 明朝" w:hAnsi="ＭＳ 明朝"/>
          <w:color w:val="auto"/>
          <w:sz w:val="22"/>
          <w:highlight w:val="none"/>
        </w:rPr>
      </w:pPr>
      <w:r>
        <w:rPr>
          <w:rFonts w:hint="eastAsia" w:ascii="ＭＳ 明朝" w:hAnsi="ＭＳ 明朝"/>
          <w:b w:val="1"/>
          <w:color w:val="auto"/>
          <w:sz w:val="22"/>
          <w:highlight w:val="none"/>
        </w:rPr>
        <w:t>【外部評価者の点検・評価の概要】</w:t>
      </w:r>
    </w:p>
    <w:p>
      <w:pPr>
        <w:pStyle w:val="0"/>
        <w:ind w:left="440" w:hanging="440" w:hangingChars="200"/>
        <w:rPr>
          <w:rFonts w:hint="default" w:ascii="ＭＳ 明朝" w:hAnsi="ＭＳ 明朝"/>
          <w:color w:val="auto"/>
          <w:sz w:val="22"/>
          <w:highlight w:val="none"/>
        </w:rPr>
      </w:pPr>
      <w:r>
        <w:rPr>
          <w:rFonts w:hint="eastAsia" w:ascii="ＭＳ 明朝" w:hAnsi="ＭＳ 明朝"/>
          <w:color w:val="auto"/>
          <w:sz w:val="22"/>
          <w:highlight w:val="none"/>
        </w:rPr>
        <w:t>　・スポーツイベントは参加者の安全確保は最重要事項であり、しらさぎ駅伝競走大会実施にあたっての対策は評価できる。</w:t>
      </w:r>
    </w:p>
    <w:p>
      <w:pPr>
        <w:pStyle w:val="0"/>
        <w:ind w:left="440" w:hanging="440" w:hangingChars="200"/>
        <w:rPr>
          <w:rFonts w:hint="default" w:ascii="ＭＳ 明朝" w:hAnsi="ＭＳ 明朝"/>
          <w:color w:val="auto"/>
          <w:sz w:val="22"/>
          <w:highlight w:val="none"/>
        </w:rPr>
      </w:pPr>
      <w:r>
        <w:rPr>
          <w:rFonts w:hint="eastAsia" w:ascii="ＭＳ 明朝" w:hAnsi="ＭＳ 明朝"/>
          <w:color w:val="auto"/>
          <w:sz w:val="22"/>
          <w:highlight w:val="none"/>
        </w:rPr>
        <w:t>　・フェンシング教室が国体のレガシーとして成果を上げている。</w:t>
      </w:r>
    </w:p>
    <w:p>
      <w:pPr>
        <w:pStyle w:val="0"/>
        <w:ind w:left="220" w:hanging="220" w:hangingChars="100"/>
        <w:rPr>
          <w:rFonts w:hint="default" w:ascii="ＭＳ 明朝" w:hAnsi="ＭＳ 明朝"/>
          <w:color w:val="auto"/>
          <w:sz w:val="22"/>
          <w:highlight w:val="none"/>
        </w:rPr>
      </w:pPr>
      <w:r>
        <w:rPr>
          <w:rFonts w:hint="eastAsia" w:ascii="ＭＳ 明朝" w:hAnsi="ＭＳ 明朝"/>
          <w:color w:val="auto"/>
          <w:sz w:val="22"/>
          <w:highlight w:val="none"/>
        </w:rPr>
        <w:t>　・スポーツ施設利用者数が増加傾向にあることは良い傾向である。</w:t>
      </w:r>
    </w:p>
    <w:p>
      <w:pPr>
        <w:pStyle w:val="0"/>
        <w:ind w:left="0" w:leftChars="0" w:hanging="440" w:hangingChars="200"/>
        <w:rPr>
          <w:rFonts w:hint="default" w:ascii="ＭＳ 明朝" w:hAnsi="ＭＳ 明朝"/>
          <w:color w:val="auto"/>
          <w:sz w:val="22"/>
          <w:highlight w:val="none"/>
        </w:rPr>
      </w:pPr>
      <w:r>
        <w:rPr>
          <w:rFonts w:hint="eastAsia" w:ascii="ＭＳ 明朝" w:hAnsi="ＭＳ 明朝"/>
          <w:color w:val="auto"/>
          <w:sz w:val="22"/>
          <w:highlight w:val="none"/>
        </w:rPr>
        <w:t>　・しらさぎマラソン大会について、地域密着型の大会として、より多くの町民に参加していただきたい。</w:t>
      </w:r>
    </w:p>
    <w:p>
      <w:pPr>
        <w:pStyle w:val="0"/>
        <w:ind w:left="440" w:hanging="440" w:hangingChars="200"/>
        <w:rPr>
          <w:rFonts w:hint="default" w:ascii="ＭＳ 明朝" w:hAnsi="ＭＳ 明朝"/>
          <w:color w:val="auto"/>
          <w:sz w:val="22"/>
          <w:highlight w:val="none"/>
        </w:rPr>
      </w:pPr>
    </w:p>
    <w:p>
      <w:pPr>
        <w:pStyle w:val="0"/>
        <w:rPr>
          <w:rFonts w:hint="default" w:ascii="ＭＳ 明朝" w:hAnsi="ＭＳ 明朝"/>
          <w:color w:val="auto"/>
          <w:highlight w:val="none"/>
        </w:rPr>
      </w:pPr>
      <w:r>
        <w:rPr>
          <w:rFonts w:hint="default" w:ascii="ＭＳ 明朝" w:hAnsi="ＭＳ 明朝"/>
          <w:b w:val="1"/>
          <w:color w:val="auto"/>
          <w:highlight w:val="none"/>
        </w:rPr>
        <w:t>➋</w:t>
      </w:r>
      <w:r>
        <w:rPr>
          <w:rFonts w:hint="eastAsia" w:ascii="ＭＳ 明朝" w:hAnsi="ＭＳ 明朝"/>
          <w:b w:val="1"/>
          <w:color w:val="auto"/>
          <w:sz w:val="22"/>
          <w:highlight w:val="none"/>
        </w:rPr>
        <w:t>　</w:t>
      </w:r>
      <w:r>
        <w:rPr>
          <w:rFonts w:hint="eastAsia" w:ascii="ＭＳ 明朝" w:hAnsi="ＭＳ 明朝"/>
          <w:b w:val="1"/>
          <w:color w:val="auto"/>
          <w:highlight w:val="none"/>
        </w:rPr>
        <w:t>スポーツ施設の充実</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【事務・事業の概要】</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１　目的及び効果</w:t>
      </w:r>
    </w:p>
    <w:p>
      <w:pPr>
        <w:pStyle w:val="0"/>
        <w:ind w:left="220" w:hanging="220" w:hangingChars="100"/>
        <w:rPr>
          <w:rFonts w:hint="default" w:ascii="ＭＳ 明朝" w:hAnsi="ＭＳ 明朝"/>
          <w:color w:val="auto"/>
          <w:sz w:val="22"/>
          <w:highlight w:val="none"/>
        </w:rPr>
      </w:pPr>
      <w:r>
        <w:rPr>
          <w:rFonts w:hint="eastAsia" w:ascii="ＭＳ 明朝" w:hAnsi="ＭＳ 明朝"/>
          <w:color w:val="auto"/>
          <w:sz w:val="22"/>
          <w:highlight w:val="none"/>
        </w:rPr>
        <w:t>　　町民の体力の向上及び生涯スポーツの普及と競技力の向上を図るため、各スポーツ施設について、日々の点検に努めるとともに、改善が可能なものについては実施し、良好な環境の下で様々なスポーツに取り組める環境をつくる。</w:t>
      </w:r>
    </w:p>
    <w:p>
      <w:pPr>
        <w:pStyle w:val="0"/>
        <w:rPr>
          <w:rFonts w:hint="default" w:ascii="ＭＳ 明朝" w:hAnsi="ＭＳ 明朝"/>
          <w:color w:val="auto"/>
          <w:sz w:val="22"/>
          <w:highlight w:val="none"/>
        </w:rPr>
      </w:pPr>
      <w:r>
        <w:rPr>
          <w:rFonts w:hint="eastAsia" w:ascii="ＭＳ 明朝" w:hAnsi="ＭＳ 明朝"/>
          <w:b w:val="1"/>
          <w:color w:val="auto"/>
          <w:sz w:val="22"/>
          <w:highlight w:val="none"/>
        </w:rPr>
        <w:t>２　事業主体</w:t>
      </w:r>
    </w:p>
    <w:p>
      <w:pPr>
        <w:pStyle w:val="0"/>
        <w:rPr>
          <w:rFonts w:hint="default" w:ascii="ＭＳ 明朝" w:hAnsi="ＭＳ 明朝"/>
          <w:color w:val="auto"/>
          <w:sz w:val="22"/>
          <w:highlight w:val="none"/>
        </w:rPr>
      </w:pPr>
      <w:r>
        <w:rPr>
          <w:rFonts w:hint="eastAsia" w:ascii="ＭＳ 明朝" w:hAnsi="ＭＳ 明朝"/>
          <w:color w:val="auto"/>
          <w:sz w:val="22"/>
          <w:highlight w:val="none"/>
        </w:rPr>
        <w:t>　　生涯学習課</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３　事業内容及び状況</w:t>
      </w:r>
    </w:p>
    <w:p>
      <w:pPr>
        <w:pStyle w:val="0"/>
        <w:ind w:left="220" w:hanging="220" w:hangingChars="100"/>
        <w:rPr>
          <w:rFonts w:hint="default" w:ascii="ＭＳ 明朝" w:hAnsi="ＭＳ 明朝"/>
          <w:color w:val="auto"/>
          <w:sz w:val="22"/>
          <w:highlight w:val="none"/>
        </w:rPr>
      </w:pPr>
      <w:r>
        <w:rPr>
          <w:rFonts w:hint="eastAsia" w:ascii="ＭＳ 明朝" w:hAnsi="ＭＳ 明朝"/>
          <w:color w:val="auto"/>
          <w:sz w:val="22"/>
          <w:highlight w:val="none"/>
        </w:rPr>
        <w:t>　　体育施設及び都市公園施設については、指定管理者制度を平成１９年４月から導入し、指定管理者による施設の管理運営を行っており、民間の能力を活用して利用者へのサービス向上を図っている。</w:t>
      </w:r>
    </w:p>
    <w:p>
      <w:pPr>
        <w:pStyle w:val="0"/>
        <w:ind w:left="221" w:hanging="221" w:hangingChars="100"/>
        <w:rPr>
          <w:rFonts w:hint="default" w:ascii="ＭＳ 明朝" w:hAnsi="ＭＳ 明朝"/>
          <w:color w:val="auto"/>
          <w:sz w:val="22"/>
          <w:highlight w:val="none"/>
        </w:rPr>
      </w:pPr>
    </w:p>
    <w:p>
      <w:pPr>
        <w:pStyle w:val="0"/>
        <w:ind w:left="221" w:hanging="221" w:hangingChars="100"/>
        <w:rPr>
          <w:rFonts w:hint="default" w:ascii="ＭＳ 明朝" w:hAnsi="ＭＳ 明朝"/>
          <w:color w:val="auto"/>
          <w:sz w:val="22"/>
          <w:highlight w:val="none"/>
        </w:rPr>
      </w:pPr>
      <w:r>
        <w:rPr>
          <w:rFonts w:hint="eastAsia" w:ascii="ＭＳ 明朝" w:hAnsi="ＭＳ 明朝"/>
          <w:b w:val="1"/>
          <w:color w:val="auto"/>
          <w:sz w:val="22"/>
          <w:highlight w:val="none"/>
        </w:rPr>
        <w:t>【決算額】</w:t>
      </w:r>
    </w:p>
    <w:p>
      <w:pPr>
        <w:pStyle w:val="0"/>
        <w:rPr>
          <w:rFonts w:hint="default" w:ascii="ＭＳ 明朝" w:hAnsi="ＭＳ 明朝"/>
          <w:color w:val="auto"/>
          <w:sz w:val="22"/>
          <w:highlight w:val="none"/>
        </w:rPr>
      </w:pPr>
      <w:r>
        <w:rPr>
          <w:rFonts w:hint="eastAsia" w:ascii="ＭＳ 明朝" w:hAnsi="ＭＳ 明朝"/>
          <w:color w:val="auto"/>
          <w:sz w:val="22"/>
          <w:highlight w:val="none"/>
        </w:rPr>
        <w:t>　　第１０款　教育費　第５項　保健体育費　３目　体育施設管理費　１１３</w:t>
      </w:r>
      <w:r>
        <w:rPr>
          <w:rFonts w:hint="eastAsia" w:ascii="ＭＳ 明朝" w:hAnsi="ＭＳ 明朝"/>
          <w:color w:val="auto"/>
          <w:sz w:val="22"/>
          <w:highlight w:val="none"/>
        </w:rPr>
        <w:t>,</w:t>
      </w:r>
      <w:r>
        <w:rPr>
          <w:rFonts w:hint="eastAsia" w:ascii="ＭＳ 明朝" w:hAnsi="ＭＳ 明朝"/>
          <w:color w:val="auto"/>
          <w:sz w:val="22"/>
          <w:highlight w:val="none"/>
        </w:rPr>
        <w:t>３２５千円</w:t>
      </w:r>
    </w:p>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【事業評価（自己評価）】</w:t>
      </w:r>
    </w:p>
    <w:p>
      <w:pPr>
        <w:pStyle w:val="0"/>
        <w:ind w:left="220" w:hanging="220" w:hangingChars="100"/>
        <w:rPr>
          <w:rFonts w:hint="default" w:ascii="ＭＳ 明朝" w:hAnsi="ＭＳ 明朝"/>
          <w:dstrike w:val="1"/>
          <w:color w:val="auto"/>
          <w:sz w:val="22"/>
        </w:rPr>
      </w:pPr>
      <w:r>
        <w:rPr>
          <w:rFonts w:hint="eastAsia" w:ascii="ＭＳ 明朝" w:hAnsi="ＭＳ 明朝"/>
          <w:color w:val="auto"/>
          <w:sz w:val="22"/>
          <w:highlight w:val="none"/>
        </w:rPr>
        <w:t>　　</w:t>
      </w:r>
      <w:r>
        <w:rPr>
          <w:rFonts w:hint="eastAsia" w:ascii="ＭＳ 明朝" w:hAnsi="ＭＳ 明朝"/>
          <w:color w:val="auto"/>
          <w:sz w:val="22"/>
        </w:rPr>
        <w:t>体育施設については、令和２年度に国体開催に必要な施設修繕や増設工事、及び長寿命化のための大規模改修工事、耐震改修工事を実施した。また、長期間安全に使用できる施設とするため指定管理者と定期的な協議を行い、適切にメンテナンス等を実施継続している。令和７年度は空調設備設置工事を行い、今後は照明の</w:t>
      </w:r>
      <w:r>
        <w:rPr>
          <w:rFonts w:hint="eastAsia" w:ascii="ＭＳ 明朝" w:hAnsi="ＭＳ 明朝"/>
          <w:color w:val="auto"/>
          <w:sz w:val="22"/>
        </w:rPr>
        <w:t>LED</w:t>
      </w:r>
      <w:r>
        <w:rPr>
          <w:rFonts w:hint="eastAsia" w:ascii="ＭＳ 明朝" w:hAnsi="ＭＳ 明朝"/>
          <w:color w:val="auto"/>
          <w:sz w:val="22"/>
        </w:rPr>
        <w:t>化や床の修繕などの各種修繕工事を関係者と調整のうえ行っていく。</w:t>
      </w:r>
    </w:p>
    <w:p>
      <w:pPr>
        <w:pStyle w:val="0"/>
        <w:ind w:left="220" w:hanging="220" w:hangingChars="100"/>
        <w:rPr>
          <w:rFonts w:hint="default" w:ascii="ＭＳ 明朝" w:hAnsi="ＭＳ 明朝"/>
          <w:color w:val="auto"/>
          <w:sz w:val="22"/>
        </w:rPr>
      </w:pPr>
      <w:r>
        <w:rPr>
          <w:rFonts w:hint="eastAsia" w:ascii="ＭＳ 明朝" w:hAnsi="ＭＳ 明朝"/>
          <w:color w:val="auto"/>
          <w:sz w:val="22"/>
        </w:rPr>
        <w:t>　　上三川日産スポーツセンターに関しては、災害時の避難施設として重要な役割も担っているため、指定管理者と連携し緊急時に迅速な避難所開設等の対応ができるよう、組織体制も整えていく。</w:t>
      </w:r>
    </w:p>
    <w:p>
      <w:pPr>
        <w:pStyle w:val="0"/>
        <w:ind w:left="220" w:hanging="220" w:hangingChars="100"/>
        <w:rPr>
          <w:rFonts w:hint="default" w:ascii="ＭＳ 明朝" w:hAnsi="ＭＳ 明朝"/>
          <w:color w:val="auto"/>
          <w:sz w:val="22"/>
          <w:highlight w:val="none"/>
        </w:rPr>
      </w:pPr>
      <w:r>
        <w:rPr>
          <w:rFonts w:hint="eastAsia" w:ascii="ＭＳ 明朝" w:hAnsi="ＭＳ 明朝"/>
          <w:color w:val="auto"/>
          <w:sz w:val="22"/>
        </w:rPr>
        <w:t>　　また、指定管理者は施設での行事等について、インスタグラムによる情報発信を積極的に行っている</w:t>
      </w:r>
      <w:r>
        <w:rPr>
          <w:rFonts w:hint="eastAsia" w:ascii="ＭＳ 明朝" w:hAnsi="ＭＳ 明朝"/>
          <w:color w:val="auto"/>
          <w:sz w:val="22"/>
          <w:highlight w:val="none"/>
        </w:rPr>
        <w:t>。</w:t>
      </w:r>
    </w:p>
    <w:p>
      <w:pPr>
        <w:pStyle w:val="0"/>
        <w:ind w:left="221" w:hanging="221" w:hangingChars="100"/>
        <w:rPr>
          <w:rFonts w:hint="default" w:ascii="ＭＳ 明朝" w:hAnsi="ＭＳ 明朝"/>
          <w:b w:val="1"/>
          <w:color w:val="auto"/>
          <w:sz w:val="22"/>
          <w:highlight w:val="none"/>
        </w:rPr>
      </w:pPr>
      <w:r>
        <w:rPr>
          <w:rFonts w:hint="eastAsia" w:ascii="ＭＳ 明朝" w:hAnsi="ＭＳ 明朝"/>
          <w:b w:val="1"/>
          <w:color w:val="auto"/>
          <w:sz w:val="22"/>
          <w:highlight w:val="none"/>
        </w:rPr>
        <w:t>【外部評価者の点検・評価の概要】</w:t>
      </w:r>
    </w:p>
    <w:p>
      <w:pPr>
        <w:pStyle w:val="0"/>
        <w:ind w:left="440" w:hanging="440" w:hangingChars="200"/>
        <w:rPr>
          <w:rFonts w:hint="default"/>
          <w:color w:val="auto"/>
          <w:highlight w:val="none"/>
        </w:rPr>
      </w:pPr>
      <w:r>
        <w:rPr>
          <w:rFonts w:hint="eastAsia" w:ascii="ＭＳ 明朝" w:hAnsi="ＭＳ 明朝"/>
          <w:color w:val="auto"/>
          <w:sz w:val="22"/>
          <w:highlight w:val="none"/>
        </w:rPr>
        <w:t>　・空調設備が設置され、利用者が増加するものと思われるが、誰もが気軽に利用できる料金設定を検討してもらいたい。</w:t>
      </w:r>
    </w:p>
    <w:p>
      <w:pPr>
        <w:pStyle w:val="0"/>
        <w:rPr>
          <w:rFonts w:hint="default" w:ascii="ＭＳ 明朝" w:hAnsi="ＭＳ 明朝"/>
          <w:color w:val="auto"/>
          <w:sz w:val="22"/>
          <w:highlight w:val="none"/>
        </w:rPr>
      </w:pPr>
    </w:p>
    <w:p>
      <w:pPr>
        <w:pStyle w:val="0"/>
        <w:rPr>
          <w:rFonts w:hint="default" w:ascii="ＭＳ 明朝" w:hAnsi="ＭＳ 明朝"/>
          <w:color w:val="auto"/>
          <w:sz w:val="22"/>
          <w:highlight w:val="none"/>
        </w:rPr>
      </w:pPr>
    </w:p>
    <w:p>
      <w:pPr>
        <w:pStyle w:val="0"/>
        <w:rPr>
          <w:rFonts w:hint="default" w:ascii="ＭＳ 明朝" w:hAnsi="ＭＳ 明朝"/>
          <w:color w:val="auto"/>
          <w:sz w:val="22"/>
          <w:highlight w:val="none"/>
        </w:rPr>
      </w:pPr>
      <w:r>
        <w:rPr>
          <w:rFonts w:hint="eastAsia" w:ascii="ＭＳ 明朝" w:hAnsi="ＭＳ 明朝"/>
          <w:color w:val="auto"/>
          <w:sz w:val="22"/>
          <w:highlight w:val="none"/>
        </w:rPr>
        <w:t>【</w:t>
      </w:r>
      <w:r>
        <w:rPr>
          <w:rFonts w:hint="eastAsia" w:ascii="ＭＳ 明朝" w:hAnsi="ＭＳ 明朝"/>
          <w:b w:val="1"/>
          <w:color w:val="auto"/>
          <w:sz w:val="22"/>
          <w:highlight w:val="none"/>
        </w:rPr>
        <w:t>第４章　スポーツの振興</w:t>
      </w:r>
      <w:r>
        <w:rPr>
          <w:rFonts w:hint="eastAsia"/>
          <w:b w:val="1"/>
          <w:color w:val="auto"/>
          <w:sz w:val="22"/>
          <w:highlight w:val="none"/>
        </w:rPr>
        <w:t>に関する指標</w:t>
      </w:r>
      <w:r>
        <w:rPr>
          <w:rFonts w:hint="eastAsia" w:ascii="ＭＳ 明朝" w:hAnsi="ＭＳ 明朝"/>
          <w:color w:val="auto"/>
          <w:sz w:val="22"/>
          <w:highlight w:val="none"/>
        </w:rPr>
        <w:t>】</w:t>
      </w:r>
    </w:p>
    <w:p>
      <w:pPr>
        <w:pStyle w:val="0"/>
        <w:ind w:firstLine="221" w:firstLineChars="100"/>
        <w:rPr>
          <w:rFonts w:hint="default" w:ascii="ＭＳ 明朝" w:hAnsi="ＭＳ 明朝"/>
          <w:b w:val="1"/>
          <w:color w:val="auto"/>
          <w:sz w:val="22"/>
          <w:highlight w:val="none"/>
        </w:rPr>
      </w:pPr>
      <w:r>
        <w:rPr>
          <w:rFonts w:hint="default" w:ascii="ＭＳ 明朝" w:hAnsi="ＭＳ 明朝"/>
          <w:b w:val="1"/>
          <w:color w:val="auto"/>
          <w:sz w:val="22"/>
          <w:highlight w:val="none"/>
        </w:rPr>
        <w:t>➊</w:t>
      </w:r>
      <w:r>
        <w:rPr>
          <w:rFonts w:hint="eastAsia" w:ascii="ＭＳ 明朝" w:hAnsi="ＭＳ 明朝"/>
          <w:b w:val="1"/>
          <w:color w:val="auto"/>
          <w:sz w:val="22"/>
          <w:highlight w:val="none"/>
        </w:rPr>
        <w:t>　スポーツ活動の普及</w:t>
      </w:r>
    </w:p>
    <w:p>
      <w:pPr>
        <w:pStyle w:val="0"/>
        <w:ind w:firstLine="221" w:firstLineChars="100"/>
        <w:rPr>
          <w:rFonts w:hint="default" w:ascii="ＭＳ 明朝" w:hAnsi="ＭＳ 明朝"/>
          <w:color w:val="auto"/>
          <w:sz w:val="22"/>
          <w:highlight w:val="none"/>
        </w:rPr>
      </w:pPr>
      <w:r>
        <w:rPr>
          <w:rFonts w:hint="default" w:ascii="ＭＳ 明朝" w:hAnsi="ＭＳ 明朝"/>
          <w:b w:val="1"/>
          <w:color w:val="auto"/>
          <w:sz w:val="22"/>
          <w:highlight w:val="none"/>
        </w:rPr>
        <w:t>➋</w:t>
      </w:r>
      <w:r>
        <w:rPr>
          <w:rFonts w:hint="eastAsia" w:ascii="ＭＳ 明朝" w:hAnsi="ＭＳ 明朝"/>
          <w:b w:val="1"/>
          <w:color w:val="auto"/>
          <w:sz w:val="22"/>
          <w:highlight w:val="none"/>
        </w:rPr>
        <w:t>　スポーツ施設の充実</w:t>
      </w:r>
    </w:p>
    <w:tbl>
      <w:tblPr>
        <w:tblStyle w:val="11"/>
        <w:tblW w:w="8695"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536"/>
        <w:gridCol w:w="1386"/>
        <w:gridCol w:w="1386"/>
        <w:gridCol w:w="1387"/>
      </w:tblGrid>
      <w:tr>
        <w:trPr>
          <w:trHeight w:val="336" w:hRule="atLeast"/>
        </w:trPr>
        <w:tc>
          <w:tcPr>
            <w:tcW w:w="4536" w:type="dxa"/>
            <w:vAlign w:val="center"/>
          </w:tcPr>
          <w:p>
            <w:pPr>
              <w:pStyle w:val="0"/>
              <w:jc w:val="center"/>
              <w:rPr>
                <w:rFonts w:hint="default" w:ascii="ＭＳ 明朝" w:hAnsi="ＭＳ 明朝"/>
                <w:color w:val="auto"/>
                <w:sz w:val="22"/>
                <w:highlight w:val="none"/>
              </w:rPr>
            </w:pPr>
            <w:r>
              <w:rPr>
                <w:rFonts w:hint="eastAsia" w:ascii="ＭＳ 明朝" w:hAnsi="ＭＳ 明朝"/>
                <w:color w:val="auto"/>
                <w:sz w:val="22"/>
                <w:highlight w:val="none"/>
              </w:rPr>
              <w:t>指標名</w:t>
            </w:r>
          </w:p>
        </w:tc>
        <w:tc>
          <w:tcPr>
            <w:tcW w:w="138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基準値</w:t>
            </w:r>
            <w:r>
              <w:rPr>
                <w:rFonts w:hint="eastAsia" w:ascii="ＭＳ 明朝" w:hAnsi="ＭＳ 明朝"/>
                <w:color w:val="auto"/>
                <w:sz w:val="22"/>
                <w:highlight w:val="none"/>
              </w:rPr>
              <w:t>(</w:t>
            </w:r>
            <w:r>
              <w:rPr>
                <w:rFonts w:hint="default" w:ascii="ＭＳ 明朝" w:hAnsi="ＭＳ 明朝"/>
                <w:color w:val="auto"/>
                <w:sz w:val="22"/>
                <w:highlight w:val="none"/>
              </w:rPr>
              <w:t>R1)</w:t>
            </w:r>
          </w:p>
        </w:tc>
        <w:tc>
          <w:tcPr>
            <w:tcW w:w="138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実績値</w:t>
            </w:r>
            <w:r>
              <w:rPr>
                <w:rFonts w:hint="eastAsia" w:ascii="ＭＳ 明朝" w:hAnsi="ＭＳ 明朝"/>
                <w:color w:val="auto"/>
                <w:sz w:val="22"/>
                <w:highlight w:val="none"/>
              </w:rPr>
              <w:t>(</w:t>
            </w:r>
            <w:r>
              <w:rPr>
                <w:rFonts w:hint="default" w:ascii="ＭＳ 明朝" w:hAnsi="ＭＳ 明朝"/>
                <w:color w:val="auto"/>
                <w:sz w:val="22"/>
                <w:highlight w:val="none"/>
              </w:rPr>
              <w:t>R</w:t>
            </w:r>
            <w:r>
              <w:rPr>
                <w:rFonts w:hint="eastAsia" w:ascii="ＭＳ 明朝" w:hAnsi="ＭＳ 明朝"/>
                <w:color w:val="auto"/>
                <w:sz w:val="22"/>
                <w:highlight w:val="none"/>
              </w:rPr>
              <w:t>7</w:t>
            </w:r>
            <w:r>
              <w:rPr>
                <w:rFonts w:hint="default" w:ascii="ＭＳ 明朝" w:hAnsi="ＭＳ 明朝"/>
                <w:color w:val="auto"/>
                <w:sz w:val="22"/>
                <w:highlight w:val="none"/>
              </w:rPr>
              <w:t>)</w:t>
            </w:r>
          </w:p>
        </w:tc>
        <w:tc>
          <w:tcPr>
            <w:tcW w:w="1387"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目標値</w:t>
            </w:r>
            <w:r>
              <w:rPr>
                <w:rFonts w:hint="eastAsia" w:ascii="ＭＳ 明朝" w:hAnsi="ＭＳ 明朝"/>
                <w:color w:val="auto"/>
                <w:sz w:val="22"/>
                <w:highlight w:val="none"/>
              </w:rPr>
              <w:t>(</w:t>
            </w:r>
            <w:r>
              <w:rPr>
                <w:rFonts w:hint="default" w:ascii="ＭＳ 明朝" w:hAnsi="ＭＳ 明朝"/>
                <w:color w:val="auto"/>
                <w:sz w:val="22"/>
                <w:highlight w:val="none"/>
              </w:rPr>
              <w:t>R7)</w:t>
            </w:r>
          </w:p>
        </w:tc>
      </w:tr>
      <w:tr>
        <w:trPr>
          <w:trHeight w:val="348" w:hRule="atLeast"/>
        </w:trPr>
        <w:tc>
          <w:tcPr>
            <w:tcW w:w="453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週</w:t>
            </w:r>
            <w:r>
              <w:rPr>
                <w:rFonts w:hint="eastAsia" w:ascii="ＭＳ 明朝" w:hAnsi="ＭＳ 明朝"/>
                <w:color w:val="auto"/>
                <w:sz w:val="22"/>
                <w:highlight w:val="none"/>
              </w:rPr>
              <w:t>1</w:t>
            </w:r>
            <w:r>
              <w:rPr>
                <w:rFonts w:hint="eastAsia" w:ascii="ＭＳ 明朝" w:hAnsi="ＭＳ 明朝"/>
                <w:color w:val="auto"/>
                <w:sz w:val="22"/>
                <w:highlight w:val="none"/>
              </w:rPr>
              <w:t>回以上の運動をしている町民の割合</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25.7</w:t>
            </w:r>
            <w:r>
              <w:rPr>
                <w:rFonts w:hint="eastAsia" w:ascii="ＭＳ 明朝" w:hAnsi="ＭＳ 明朝"/>
                <w:color w:val="auto"/>
                <w:sz w:val="22"/>
                <w:highlight w:val="none"/>
              </w:rPr>
              <w:t>％</w:t>
            </w:r>
          </w:p>
        </w:tc>
        <w:tc>
          <w:tcPr>
            <w:tcW w:w="1386" w:type="dxa"/>
            <w:vAlign w:val="center"/>
          </w:tcPr>
          <w:p>
            <w:pPr>
              <w:pStyle w:val="0"/>
              <w:wordWrap w:val="0"/>
              <w:jc w:val="right"/>
              <w:rPr>
                <w:rFonts w:hint="default" w:ascii="ＭＳ 明朝" w:hAnsi="ＭＳ 明朝"/>
                <w:color w:val="auto"/>
                <w:sz w:val="22"/>
                <w:highlight w:val="none"/>
              </w:rPr>
            </w:pPr>
            <w:r>
              <w:rPr>
                <w:rFonts w:hint="eastAsia" w:ascii="ＭＳ 明朝" w:hAnsi="ＭＳ 明朝"/>
                <w:color w:val="auto"/>
                <w:sz w:val="22"/>
              </w:rPr>
              <w:t>※　</w:t>
            </w:r>
            <w:r>
              <w:rPr>
                <w:rFonts w:hint="eastAsia" w:ascii="ＭＳ 明朝" w:hAnsi="ＭＳ 明朝"/>
                <w:color w:val="auto"/>
                <w:sz w:val="22"/>
                <w:highlight w:val="none"/>
              </w:rPr>
              <w:t>26.8</w:t>
            </w:r>
            <w:r>
              <w:rPr>
                <w:rFonts w:hint="eastAsia" w:ascii="ＭＳ 明朝" w:hAnsi="ＭＳ 明朝"/>
                <w:color w:val="auto"/>
                <w:sz w:val="22"/>
                <w:highlight w:val="none"/>
              </w:rPr>
              <w:t>％</w:t>
            </w:r>
          </w:p>
        </w:tc>
        <w:tc>
          <w:tcPr>
            <w:tcW w:w="1387"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30.0</w:t>
            </w:r>
            <w:r>
              <w:rPr>
                <w:rFonts w:hint="eastAsia" w:ascii="ＭＳ 明朝" w:hAnsi="ＭＳ 明朝"/>
                <w:color w:val="auto"/>
                <w:sz w:val="22"/>
                <w:highlight w:val="none"/>
              </w:rPr>
              <w:t>％</w:t>
            </w:r>
          </w:p>
        </w:tc>
      </w:tr>
      <w:tr>
        <w:trPr>
          <w:trHeight w:val="348" w:hRule="atLeast"/>
        </w:trPr>
        <w:tc>
          <w:tcPr>
            <w:tcW w:w="453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総合型地域スポーツクラブ「かみスポクラブ」会員数</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175</w:t>
            </w:r>
            <w:r>
              <w:rPr>
                <w:rFonts w:hint="eastAsia" w:ascii="ＭＳ 明朝" w:hAnsi="ＭＳ 明朝"/>
                <w:color w:val="auto"/>
                <w:sz w:val="22"/>
                <w:highlight w:val="none"/>
              </w:rPr>
              <w:t>人</w:t>
            </w:r>
          </w:p>
        </w:tc>
        <w:tc>
          <w:tcPr>
            <w:tcW w:w="1386" w:type="dxa"/>
            <w:vAlign w:val="center"/>
          </w:tcPr>
          <w:p>
            <w:pPr>
              <w:pStyle w:val="0"/>
              <w:wordWrap w:val="0"/>
              <w:jc w:val="right"/>
              <w:rPr>
                <w:rFonts w:hint="default" w:ascii="ＭＳ 明朝" w:hAnsi="ＭＳ 明朝"/>
                <w:color w:val="auto"/>
                <w:sz w:val="22"/>
                <w:highlight w:val="none"/>
              </w:rPr>
            </w:pPr>
            <w:r>
              <w:rPr>
                <w:rFonts w:hint="eastAsia" w:ascii="ＭＳ 明朝" w:hAnsi="ＭＳ 明朝"/>
                <w:color w:val="auto"/>
                <w:sz w:val="22"/>
              </w:rPr>
              <w:t>143</w:t>
            </w:r>
            <w:r>
              <w:rPr>
                <w:rFonts w:hint="eastAsia" w:ascii="ＭＳ 明朝" w:hAnsi="ＭＳ 明朝"/>
                <w:color w:val="auto"/>
                <w:sz w:val="22"/>
                <w:highlight w:val="none"/>
              </w:rPr>
              <w:t>人</w:t>
            </w:r>
          </w:p>
        </w:tc>
        <w:tc>
          <w:tcPr>
            <w:tcW w:w="1387"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250</w:t>
            </w:r>
            <w:r>
              <w:rPr>
                <w:rFonts w:hint="eastAsia" w:ascii="ＭＳ 明朝" w:hAnsi="ＭＳ 明朝"/>
                <w:color w:val="auto"/>
                <w:sz w:val="22"/>
                <w:highlight w:val="none"/>
              </w:rPr>
              <w:t>人</w:t>
            </w:r>
          </w:p>
        </w:tc>
      </w:tr>
      <w:tr>
        <w:trPr>
          <w:trHeight w:val="132" w:hRule="atLeast"/>
        </w:trPr>
        <w:tc>
          <w:tcPr>
            <w:tcW w:w="453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スポーツ・レクリエーション祭参加者数</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1,467</w:t>
            </w:r>
            <w:r>
              <w:rPr>
                <w:rFonts w:hint="eastAsia" w:ascii="ＭＳ 明朝" w:hAnsi="ＭＳ 明朝"/>
                <w:color w:val="auto"/>
                <w:sz w:val="22"/>
                <w:highlight w:val="none"/>
              </w:rPr>
              <w:t>人</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rPr>
              <w:t>1,461</w:t>
            </w:r>
            <w:r>
              <w:rPr>
                <w:rFonts w:hint="eastAsia" w:ascii="ＭＳ 明朝" w:hAnsi="ＭＳ 明朝"/>
                <w:color w:val="auto"/>
                <w:sz w:val="22"/>
                <w:highlight w:val="none"/>
              </w:rPr>
              <w:t>人</w:t>
            </w:r>
          </w:p>
        </w:tc>
        <w:tc>
          <w:tcPr>
            <w:tcW w:w="1387"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4,000</w:t>
            </w:r>
            <w:r>
              <w:rPr>
                <w:rFonts w:hint="eastAsia" w:ascii="ＭＳ 明朝" w:hAnsi="ＭＳ 明朝"/>
                <w:color w:val="auto"/>
                <w:sz w:val="22"/>
                <w:highlight w:val="none"/>
              </w:rPr>
              <w:t>人</w:t>
            </w:r>
          </w:p>
        </w:tc>
      </w:tr>
      <w:tr>
        <w:trPr>
          <w:trHeight w:val="204" w:hRule="atLeast"/>
        </w:trPr>
        <w:tc>
          <w:tcPr>
            <w:tcW w:w="453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マラソン大会参加者数</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1,154</w:t>
            </w:r>
            <w:r>
              <w:rPr>
                <w:rFonts w:hint="eastAsia" w:ascii="ＭＳ 明朝" w:hAnsi="ＭＳ 明朝"/>
                <w:color w:val="auto"/>
                <w:sz w:val="22"/>
                <w:highlight w:val="none"/>
              </w:rPr>
              <w:t>人</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rPr>
              <w:t>1,133</w:t>
            </w:r>
            <w:r>
              <w:rPr>
                <w:rFonts w:hint="eastAsia" w:ascii="ＭＳ 明朝" w:hAnsi="ＭＳ 明朝"/>
                <w:color w:val="auto"/>
                <w:sz w:val="22"/>
                <w:highlight w:val="none"/>
              </w:rPr>
              <w:t>人</w:t>
            </w:r>
          </w:p>
        </w:tc>
        <w:tc>
          <w:tcPr>
            <w:tcW w:w="1387"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1,500</w:t>
            </w:r>
            <w:r>
              <w:rPr>
                <w:rFonts w:hint="eastAsia" w:ascii="ＭＳ 明朝" w:hAnsi="ＭＳ 明朝"/>
                <w:color w:val="auto"/>
                <w:sz w:val="22"/>
                <w:highlight w:val="none"/>
              </w:rPr>
              <w:t>人</w:t>
            </w:r>
          </w:p>
        </w:tc>
      </w:tr>
      <w:tr>
        <w:trPr>
          <w:trHeight w:val="144" w:hRule="atLeast"/>
        </w:trPr>
        <w:tc>
          <w:tcPr>
            <w:tcW w:w="453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スポーツ推進委員人数</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13</w:t>
            </w:r>
            <w:r>
              <w:rPr>
                <w:rFonts w:hint="eastAsia" w:ascii="ＭＳ 明朝" w:hAnsi="ＭＳ 明朝"/>
                <w:color w:val="auto"/>
                <w:sz w:val="22"/>
                <w:highlight w:val="none"/>
              </w:rPr>
              <w:t>人</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11</w:t>
            </w:r>
            <w:r>
              <w:rPr>
                <w:rFonts w:hint="eastAsia" w:ascii="ＭＳ 明朝" w:hAnsi="ＭＳ 明朝"/>
                <w:color w:val="auto"/>
                <w:sz w:val="22"/>
                <w:highlight w:val="none"/>
              </w:rPr>
              <w:t>人</w:t>
            </w:r>
          </w:p>
        </w:tc>
        <w:tc>
          <w:tcPr>
            <w:tcW w:w="1387"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18</w:t>
            </w:r>
            <w:r>
              <w:rPr>
                <w:rFonts w:hint="eastAsia" w:ascii="ＭＳ 明朝" w:hAnsi="ＭＳ 明朝"/>
                <w:color w:val="auto"/>
                <w:sz w:val="22"/>
                <w:highlight w:val="none"/>
              </w:rPr>
              <w:t>人</w:t>
            </w:r>
          </w:p>
        </w:tc>
      </w:tr>
      <w:tr>
        <w:trPr>
          <w:trHeight w:val="180" w:hRule="atLeast"/>
        </w:trPr>
        <w:tc>
          <w:tcPr>
            <w:tcW w:w="453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スポーツ施設の利用者数</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96,260</w:t>
            </w:r>
            <w:r>
              <w:rPr>
                <w:rFonts w:hint="eastAsia" w:ascii="ＭＳ 明朝" w:hAnsi="ＭＳ 明朝"/>
                <w:color w:val="auto"/>
                <w:sz w:val="22"/>
                <w:highlight w:val="none"/>
              </w:rPr>
              <w:t>人</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rPr>
              <w:t>120,472</w:t>
            </w:r>
            <w:r>
              <w:rPr>
                <w:rFonts w:hint="eastAsia" w:ascii="ＭＳ 明朝" w:hAnsi="ＭＳ 明朝"/>
                <w:color w:val="auto"/>
                <w:sz w:val="22"/>
                <w:highlight w:val="none"/>
              </w:rPr>
              <w:t>人</w:t>
            </w:r>
          </w:p>
        </w:tc>
        <w:tc>
          <w:tcPr>
            <w:tcW w:w="1387"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150,000</w:t>
            </w:r>
            <w:r>
              <w:rPr>
                <w:rFonts w:hint="eastAsia" w:ascii="ＭＳ 明朝" w:hAnsi="ＭＳ 明朝"/>
                <w:color w:val="auto"/>
                <w:sz w:val="22"/>
                <w:highlight w:val="none"/>
              </w:rPr>
              <w:t>人</w:t>
            </w:r>
          </w:p>
        </w:tc>
      </w:tr>
      <w:tr>
        <w:trPr>
          <w:trHeight w:val="168" w:hRule="atLeast"/>
        </w:trPr>
        <w:tc>
          <w:tcPr>
            <w:tcW w:w="4536" w:type="dxa"/>
            <w:vAlign w:val="top"/>
          </w:tcPr>
          <w:p>
            <w:pPr>
              <w:pStyle w:val="0"/>
              <w:rPr>
                <w:rFonts w:hint="default" w:ascii="ＭＳ 明朝" w:hAnsi="ＭＳ 明朝"/>
                <w:color w:val="auto"/>
                <w:sz w:val="22"/>
                <w:highlight w:val="none"/>
              </w:rPr>
            </w:pPr>
            <w:r>
              <w:rPr>
                <w:rFonts w:hint="eastAsia" w:ascii="ＭＳ 明朝" w:hAnsi="ＭＳ 明朝"/>
                <w:color w:val="auto"/>
                <w:sz w:val="22"/>
                <w:highlight w:val="none"/>
              </w:rPr>
              <w:t>フェンシング教室の参加者数</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229</w:t>
            </w:r>
            <w:r>
              <w:rPr>
                <w:rFonts w:hint="eastAsia" w:ascii="ＭＳ 明朝" w:hAnsi="ＭＳ 明朝"/>
                <w:color w:val="auto"/>
                <w:sz w:val="22"/>
                <w:highlight w:val="none"/>
              </w:rPr>
              <w:t>人</w:t>
            </w:r>
          </w:p>
        </w:tc>
        <w:tc>
          <w:tcPr>
            <w:tcW w:w="1386"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rPr>
              <w:t>295</w:t>
            </w:r>
            <w:r>
              <w:rPr>
                <w:rFonts w:hint="eastAsia" w:ascii="ＭＳ 明朝" w:hAnsi="ＭＳ 明朝"/>
                <w:color w:val="auto"/>
                <w:sz w:val="22"/>
                <w:highlight w:val="none"/>
              </w:rPr>
              <w:t>人</w:t>
            </w:r>
          </w:p>
        </w:tc>
        <w:tc>
          <w:tcPr>
            <w:tcW w:w="1387" w:type="dxa"/>
            <w:vAlign w:val="center"/>
          </w:tcPr>
          <w:p>
            <w:pPr>
              <w:pStyle w:val="0"/>
              <w:jc w:val="right"/>
              <w:rPr>
                <w:rFonts w:hint="default" w:ascii="ＭＳ 明朝" w:hAnsi="ＭＳ 明朝"/>
                <w:color w:val="auto"/>
                <w:sz w:val="22"/>
                <w:highlight w:val="none"/>
              </w:rPr>
            </w:pPr>
            <w:r>
              <w:rPr>
                <w:rFonts w:hint="eastAsia" w:ascii="ＭＳ 明朝" w:hAnsi="ＭＳ 明朝"/>
                <w:color w:val="auto"/>
                <w:sz w:val="22"/>
                <w:highlight w:val="none"/>
              </w:rPr>
              <w:t>300</w:t>
            </w:r>
            <w:r>
              <w:rPr>
                <w:rFonts w:hint="eastAsia" w:ascii="ＭＳ 明朝" w:hAnsi="ＭＳ 明朝"/>
                <w:color w:val="auto"/>
                <w:sz w:val="22"/>
                <w:highlight w:val="none"/>
              </w:rPr>
              <w:t>人</w:t>
            </w:r>
          </w:p>
        </w:tc>
      </w:tr>
    </w:tbl>
    <w:p>
      <w:pPr>
        <w:pStyle w:val="0"/>
        <w:rPr>
          <w:rFonts w:hint="default" w:ascii="ＭＳ 明朝" w:hAnsi="ＭＳ 明朝"/>
          <w:b w:val="1"/>
          <w:color w:val="auto"/>
          <w:sz w:val="22"/>
          <w:highlight w:val="none"/>
        </w:rPr>
      </w:pPr>
      <w:r>
        <w:rPr>
          <w:rFonts w:hint="eastAsia" w:ascii="ＭＳ 明朝" w:hAnsi="ＭＳ 明朝"/>
          <w:b w:val="1"/>
          <w:color w:val="auto"/>
          <w:sz w:val="22"/>
          <w:highlight w:val="none"/>
        </w:rPr>
        <w:t>　　</w:t>
      </w:r>
      <w:r>
        <w:rPr>
          <w:rFonts w:hint="eastAsia" w:ascii="ＭＳ 明朝" w:hAnsi="ＭＳ 明朝"/>
          <w:b w:val="0"/>
          <w:color w:val="auto"/>
          <w:sz w:val="22"/>
        </w:rPr>
        <w:t>※上三川町まちづくりアンケート調査報告書（令和</w:t>
      </w:r>
      <w:r>
        <w:rPr>
          <w:rFonts w:hint="eastAsia" w:ascii="ＭＳ 明朝" w:hAnsi="ＭＳ 明朝"/>
          <w:b w:val="0"/>
          <w:color w:val="auto"/>
          <w:sz w:val="22"/>
        </w:rPr>
        <w:t>7</w:t>
      </w:r>
      <w:r>
        <w:rPr>
          <w:rFonts w:hint="eastAsia" w:ascii="ＭＳ 明朝" w:hAnsi="ＭＳ 明朝"/>
          <w:b w:val="0"/>
          <w:color w:val="auto"/>
          <w:sz w:val="22"/>
        </w:rPr>
        <w:t>年</w:t>
      </w:r>
      <w:r>
        <w:rPr>
          <w:rFonts w:hint="eastAsia" w:ascii="ＭＳ 明朝" w:hAnsi="ＭＳ 明朝"/>
          <w:b w:val="0"/>
          <w:color w:val="auto"/>
          <w:sz w:val="22"/>
        </w:rPr>
        <w:t>3</w:t>
      </w:r>
      <w:r>
        <w:rPr>
          <w:rFonts w:hint="eastAsia" w:ascii="ＭＳ 明朝" w:hAnsi="ＭＳ 明朝"/>
          <w:b w:val="0"/>
          <w:color w:val="auto"/>
          <w:sz w:val="22"/>
        </w:rPr>
        <w:t>月）による。</w:t>
      </w:r>
    </w:p>
    <w:p>
      <w:pPr>
        <w:pStyle w:val="0"/>
        <w:rPr>
          <w:rFonts w:hint="default" w:ascii="ＭＳ 明朝" w:hAnsi="ＭＳ 明朝"/>
          <w:b w:val="1"/>
          <w:color w:val="auto"/>
          <w:sz w:val="22"/>
        </w:rPr>
      </w:pPr>
    </w:p>
    <w:p>
      <w:pPr>
        <w:pStyle w:val="0"/>
        <w:rPr>
          <w:rFonts w:hint="default" w:ascii="ＭＳ 明朝" w:hAnsi="ＭＳ 明朝"/>
          <w:b w:val="1"/>
          <w:color w:val="auto"/>
          <w:sz w:val="22"/>
        </w:rPr>
      </w:pPr>
    </w:p>
    <w:p>
      <w:pPr>
        <w:pStyle w:val="0"/>
        <w:rPr>
          <w:rFonts w:hint="default" w:ascii="ＭＳ 明朝" w:hAnsi="ＭＳ 明朝"/>
          <w:b w:val="1"/>
          <w:color w:val="auto"/>
          <w:sz w:val="22"/>
        </w:rPr>
      </w:pPr>
    </w:p>
    <w:p>
      <w:pPr>
        <w:pStyle w:val="0"/>
        <w:rPr>
          <w:rFonts w:hint="default" w:ascii="ＭＳ 明朝" w:hAnsi="ＭＳ 明朝"/>
          <w:b w:val="1"/>
          <w:color w:val="auto"/>
          <w:sz w:val="28"/>
        </w:rPr>
      </w:pPr>
      <w:r>
        <w:rPr>
          <w:rFonts w:hint="eastAsia" w:ascii="ＭＳ 明朝" w:hAnsi="ＭＳ 明朝"/>
          <w:b w:val="1"/>
          <w:color w:val="auto"/>
          <w:sz w:val="28"/>
        </w:rPr>
        <w:t>Ⅲ　教育委員会の活動状況について</w:t>
      </w:r>
    </w:p>
    <w:p>
      <w:pPr>
        <w:pStyle w:val="0"/>
        <w:rPr>
          <w:rFonts w:hint="default" w:ascii="ＭＳ 明朝" w:hAnsi="ＭＳ 明朝"/>
          <w:b w:val="1"/>
          <w:color w:val="auto"/>
          <w:sz w:val="22"/>
        </w:rPr>
      </w:pPr>
      <w:r>
        <w:rPr>
          <w:rFonts w:hint="eastAsia" w:ascii="ＭＳ 明朝" w:hAnsi="ＭＳ 明朝"/>
          <w:b w:val="1"/>
          <w:color w:val="auto"/>
          <w:sz w:val="22"/>
        </w:rPr>
        <w:t>１．教育委員会議等の運営及び開催状況等</w:t>
      </w:r>
    </w:p>
    <w:p>
      <w:pPr>
        <w:pStyle w:val="0"/>
        <w:ind w:left="220" w:hanging="220" w:hangingChars="100"/>
        <w:rPr>
          <w:rFonts w:hint="default" w:ascii="ＭＳ 明朝" w:hAnsi="ＭＳ 明朝"/>
          <w:color w:val="auto"/>
          <w:sz w:val="22"/>
        </w:rPr>
      </w:pPr>
      <w:r>
        <w:rPr>
          <w:rFonts w:hint="eastAsia" w:ascii="ＭＳ 明朝" w:hAnsi="ＭＳ 明朝"/>
          <w:color w:val="auto"/>
          <w:sz w:val="22"/>
        </w:rPr>
        <w:t>　　教育委員会議については、原則として毎月１回「定例会」、また、必要に応じて「臨時会」を開催しており、令和７年度の開催回数は次のとおりである。</w:t>
      </w:r>
    </w:p>
    <w:p>
      <w:pPr>
        <w:pStyle w:val="0"/>
        <w:rPr>
          <w:rFonts w:hint="default" w:ascii="ＭＳ 明朝" w:hAnsi="ＭＳ 明朝"/>
          <w:color w:val="auto"/>
          <w:sz w:val="22"/>
        </w:rPr>
      </w:pPr>
      <w:r>
        <w:rPr>
          <w:rFonts w:hint="eastAsia" w:ascii="ＭＳ 明朝" w:hAnsi="ＭＳ 明朝"/>
          <w:color w:val="auto"/>
          <w:sz w:val="22"/>
        </w:rPr>
        <w:t>　　　【会議の開催状況】</w:t>
      </w:r>
    </w:p>
    <w:p>
      <w:pPr>
        <w:pStyle w:val="0"/>
        <w:rPr>
          <w:rFonts w:hint="default" w:ascii="ＭＳ 明朝" w:hAnsi="ＭＳ 明朝"/>
          <w:color w:val="auto"/>
          <w:sz w:val="22"/>
        </w:rPr>
      </w:pPr>
      <w:r>
        <w:rPr>
          <w:rFonts w:hint="eastAsia" w:ascii="ＭＳ 明朝" w:hAnsi="ＭＳ 明朝"/>
          <w:color w:val="auto"/>
          <w:sz w:val="22"/>
        </w:rPr>
        <w:t>　　　　○定例会・・・・１２回</w:t>
      </w:r>
    </w:p>
    <w:p>
      <w:pPr>
        <w:pStyle w:val="0"/>
        <w:rPr>
          <w:rFonts w:hint="default" w:ascii="ＭＳ 明朝" w:hAnsi="ＭＳ 明朝"/>
          <w:b w:val="1"/>
          <w:color w:val="auto"/>
          <w:sz w:val="22"/>
        </w:rPr>
      </w:pPr>
      <w:r>
        <w:rPr>
          <w:rFonts w:hint="eastAsia" w:ascii="ＭＳ 明朝" w:hAnsi="ＭＳ 明朝"/>
          <w:color w:val="auto"/>
          <w:sz w:val="22"/>
        </w:rPr>
        <w:t>　　　　○臨時会・・・・・０回　　　　　　　　　　　　〔合計１２回開催〕</w:t>
      </w:r>
    </w:p>
    <w:p>
      <w:pPr>
        <w:pStyle w:val="0"/>
        <w:rPr>
          <w:rFonts w:hint="default" w:ascii="ＭＳ 明朝" w:hAnsi="ＭＳ 明朝"/>
          <w:b w:val="1"/>
          <w:color w:val="auto"/>
          <w:sz w:val="22"/>
        </w:rPr>
      </w:pPr>
      <w:r>
        <w:rPr>
          <w:rFonts w:hint="eastAsia" w:ascii="ＭＳ 明朝" w:hAnsi="ＭＳ 明朝"/>
          <w:b w:val="1"/>
          <w:color w:val="auto"/>
          <w:sz w:val="22"/>
        </w:rPr>
        <w:t>２．教育委員会議の内容</w:t>
      </w:r>
    </w:p>
    <w:p>
      <w:pPr>
        <w:pStyle w:val="0"/>
        <w:ind w:left="220" w:hanging="220" w:hangingChars="100"/>
        <w:rPr>
          <w:rFonts w:hint="default" w:ascii="ＭＳ 明朝" w:hAnsi="ＭＳ 明朝"/>
          <w:color w:val="auto"/>
          <w:sz w:val="22"/>
        </w:rPr>
      </w:pPr>
      <w:r>
        <w:rPr>
          <w:rFonts w:hint="eastAsia" w:ascii="ＭＳ 明朝" w:hAnsi="ＭＳ 明朝"/>
          <w:color w:val="auto"/>
          <w:sz w:val="22"/>
        </w:rPr>
        <w:t>　　会議は原則公開になるが、人事に関する議案を審議する場合等では、出席委員の３分の２以上の多数をもって、非公開の会議とする場合があるが、令和７年度における傍聴者は０名である。</w:t>
      </w:r>
    </w:p>
    <w:p>
      <w:pPr>
        <w:pStyle w:val="0"/>
        <w:rPr>
          <w:rFonts w:hint="default" w:ascii="ＭＳ 明朝" w:hAnsi="ＭＳ 明朝"/>
          <w:color w:val="auto"/>
          <w:sz w:val="22"/>
        </w:rPr>
      </w:pPr>
      <w:r>
        <w:rPr>
          <w:rFonts w:hint="eastAsia" w:ascii="ＭＳ 明朝" w:hAnsi="ＭＳ 明朝"/>
          <w:color w:val="auto"/>
          <w:sz w:val="22"/>
        </w:rPr>
        <w:t>　　定例会及び臨時会で審議された内容別の件数は次のとおりである。</w:t>
      </w:r>
    </w:p>
    <w:p>
      <w:pPr>
        <w:pStyle w:val="0"/>
        <w:rPr>
          <w:rFonts w:hint="default" w:ascii="ＭＳ 明朝" w:hAnsi="ＭＳ 明朝"/>
          <w:color w:val="auto"/>
          <w:sz w:val="22"/>
        </w:rPr>
      </w:pPr>
      <w:r>
        <w:rPr>
          <w:rFonts w:hint="eastAsia" w:ascii="ＭＳ 明朝" w:hAnsi="ＭＳ 明朝"/>
          <w:color w:val="auto"/>
          <w:sz w:val="22"/>
        </w:rPr>
        <w:t>　　　【付議内容及び件数】</w:t>
      </w:r>
    </w:p>
    <w:p>
      <w:pPr>
        <w:pStyle w:val="0"/>
        <w:rPr>
          <w:rFonts w:hint="default" w:ascii="ＭＳ 明朝" w:hAnsi="ＭＳ 明朝"/>
          <w:color w:val="auto"/>
          <w:sz w:val="22"/>
        </w:rPr>
      </w:pPr>
      <w:r>
        <w:rPr>
          <w:rFonts w:hint="eastAsia" w:ascii="ＭＳ 明朝" w:hAnsi="ＭＳ 明朝"/>
          <w:color w:val="auto"/>
          <w:sz w:val="22"/>
        </w:rPr>
        <w:t>　　　　○人事、服務に関すること・・・・・・・・・・・・２１件</w:t>
      </w:r>
    </w:p>
    <w:p>
      <w:pPr>
        <w:pStyle w:val="0"/>
        <w:rPr>
          <w:rFonts w:hint="default" w:ascii="ＭＳ 明朝" w:hAnsi="ＭＳ 明朝"/>
          <w:color w:val="auto"/>
          <w:sz w:val="22"/>
        </w:rPr>
      </w:pPr>
      <w:r>
        <w:rPr>
          <w:rFonts w:hint="eastAsia" w:ascii="ＭＳ 明朝" w:hAnsi="ＭＳ 明朝"/>
          <w:color w:val="auto"/>
          <w:sz w:val="22"/>
        </w:rPr>
        <w:t>　　　　○条例、規則等の制定、改廃に関すること・・・・・１３件</w:t>
      </w:r>
    </w:p>
    <w:p>
      <w:pPr>
        <w:pStyle w:val="0"/>
        <w:ind w:left="840" w:hanging="840"/>
        <w:rPr>
          <w:rFonts w:hint="default" w:ascii="ＭＳ 明朝" w:hAnsi="ＭＳ 明朝"/>
          <w:color w:val="auto"/>
          <w:sz w:val="22"/>
        </w:rPr>
      </w:pPr>
      <w:r>
        <w:rPr>
          <w:rFonts w:hint="eastAsia" w:ascii="ＭＳ 明朝" w:hAnsi="ＭＳ 明朝"/>
          <w:color w:val="auto"/>
          <w:sz w:val="22"/>
        </w:rPr>
        <w:t>　　　　○教育関係予算に関すること・・・・・・・・・・・　４件</w:t>
      </w:r>
    </w:p>
    <w:p>
      <w:pPr>
        <w:pStyle w:val="0"/>
        <w:rPr>
          <w:rFonts w:hint="default" w:ascii="ＭＳ 明朝" w:hAnsi="ＭＳ 明朝"/>
          <w:color w:val="auto"/>
          <w:sz w:val="22"/>
        </w:rPr>
      </w:pPr>
      <w:r>
        <w:rPr>
          <w:rFonts w:hint="eastAsia" w:ascii="ＭＳ 明朝" w:hAnsi="ＭＳ 明朝"/>
          <w:color w:val="auto"/>
          <w:sz w:val="22"/>
        </w:rPr>
        <w:t>　　　　○文化財保護に関すること・・・・・・・・・・・・　０件</w:t>
      </w:r>
    </w:p>
    <w:p>
      <w:pPr>
        <w:pStyle w:val="0"/>
        <w:rPr>
          <w:rFonts w:hint="default" w:ascii="ＭＳ 明朝" w:hAnsi="ＭＳ 明朝"/>
          <w:color w:val="auto"/>
          <w:sz w:val="22"/>
        </w:rPr>
      </w:pPr>
      <w:r>
        <w:rPr>
          <w:rFonts w:hint="eastAsia" w:ascii="ＭＳ 明朝" w:hAnsi="ＭＳ 明朝"/>
          <w:color w:val="auto"/>
          <w:sz w:val="22"/>
        </w:rPr>
        <w:t>　　　　○表彰に関すること・・・・・・・・・・・・・・・　３件</w:t>
      </w:r>
    </w:p>
    <w:p>
      <w:pPr>
        <w:pStyle w:val="0"/>
        <w:rPr>
          <w:rFonts w:hint="default" w:ascii="ＭＳ 明朝" w:hAnsi="ＭＳ 明朝"/>
          <w:color w:val="auto"/>
          <w:sz w:val="22"/>
        </w:rPr>
      </w:pPr>
      <w:r>
        <w:rPr>
          <w:rFonts w:hint="eastAsia" w:ascii="ＭＳ 明朝" w:hAnsi="ＭＳ 明朝"/>
          <w:color w:val="auto"/>
          <w:sz w:val="22"/>
        </w:rPr>
        <w:t>　　　　○その他・・・・・・・・・・・・・・・・・・・・・６件　〔合計４７件〕</w:t>
      </w:r>
    </w:p>
    <w:p>
      <w:pPr>
        <w:pStyle w:val="0"/>
        <w:rPr>
          <w:rFonts w:hint="default" w:ascii="ＭＳ 明朝" w:hAnsi="ＭＳ 明朝"/>
          <w:color w:val="auto"/>
          <w:sz w:val="22"/>
        </w:rPr>
      </w:pPr>
      <w:r>
        <w:rPr>
          <w:rFonts w:hint="eastAsia" w:ascii="ＭＳ 明朝" w:hAnsi="ＭＳ 明朝"/>
          <w:b w:val="1"/>
          <w:color w:val="auto"/>
          <w:sz w:val="22"/>
        </w:rPr>
        <w:t>３．教育委員会議以外の活動状況（教育長以外）</w:t>
      </w:r>
    </w:p>
    <w:p>
      <w:pPr>
        <w:pStyle w:val="0"/>
        <w:ind w:left="220" w:hanging="220" w:hangingChars="100"/>
        <w:rPr>
          <w:rFonts w:hint="default" w:ascii="ＭＳ 明朝" w:hAnsi="ＭＳ 明朝"/>
          <w:color w:val="auto"/>
          <w:sz w:val="22"/>
        </w:rPr>
      </w:pPr>
      <w:r>
        <w:rPr>
          <w:rFonts w:hint="eastAsia" w:ascii="ＭＳ 明朝" w:hAnsi="ＭＳ 明朝"/>
          <w:color w:val="auto"/>
          <w:sz w:val="22"/>
        </w:rPr>
        <w:t>　　教育委員は、例年、教育委員会議以外の活動として、学校現場の状況把握と校長等管理職員との意見交換を目的として、学校訪問を実施している外、栃木県市町村教育委員会連合会主催の研修会への出席や各種行事大会に参加している。</w:t>
      </w:r>
    </w:p>
    <w:p>
      <w:pPr>
        <w:pStyle w:val="0"/>
        <w:ind w:left="240" w:leftChars="100" w:firstLine="220" w:firstLineChars="100"/>
        <w:rPr>
          <w:rFonts w:hint="default" w:ascii="ＭＳ 明朝" w:hAnsi="ＭＳ 明朝"/>
          <w:strike w:val="1"/>
          <w:color w:val="auto"/>
          <w:sz w:val="22"/>
        </w:rPr>
      </w:pPr>
      <w:r>
        <w:rPr>
          <w:rFonts w:hint="eastAsia" w:ascii="ＭＳ 明朝" w:hAnsi="ＭＳ 明朝"/>
          <w:color w:val="auto"/>
          <w:sz w:val="22"/>
        </w:rPr>
        <w:t>令和７年度については、令和７年１０月、令和８年１月に学校訪問を実施した。</w:t>
      </w:r>
    </w:p>
    <w:p>
      <w:pPr>
        <w:pStyle w:val="0"/>
        <w:rPr>
          <w:rFonts w:hint="default"/>
          <w:color w:val="auto"/>
          <w:sz w:val="22"/>
        </w:rPr>
      </w:pPr>
      <w:r>
        <w:rPr>
          <w:rFonts w:hint="eastAsia" w:ascii="ＭＳ 明朝" w:hAnsi="ＭＳ 明朝"/>
          <w:color w:val="auto"/>
          <w:sz w:val="22"/>
        </w:rPr>
        <w:t>　</w:t>
      </w:r>
      <w:r>
        <w:rPr>
          <w:rFonts w:hint="eastAsia"/>
          <w:color w:val="auto"/>
          <w:sz w:val="22"/>
        </w:rPr>
        <w:t>　</w:t>
      </w:r>
      <w:r>
        <w:rPr>
          <w:rFonts w:hint="eastAsia" w:ascii="ＭＳ 明朝" w:hAnsi="ＭＳ 明朝"/>
          <w:color w:val="auto"/>
          <w:sz w:val="22"/>
        </w:rPr>
        <w:t>〔教育委員一覧〕　　　　　　　　　　　　　　　（令和８年３月３１日現在）</w:t>
      </w:r>
    </w:p>
    <w:tbl>
      <w:tblPr>
        <w:tblStyle w:val="11"/>
        <w:tblW w:w="8102"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967"/>
        <w:gridCol w:w="1856"/>
        <w:gridCol w:w="4279"/>
      </w:tblGrid>
      <w:tr>
        <w:trPr>
          <w:trHeight w:val="454" w:hRule="atLeast"/>
        </w:trPr>
        <w:tc>
          <w:tcPr>
            <w:tcW w:w="19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color w:val="auto"/>
                <w:sz w:val="22"/>
              </w:rPr>
            </w:pPr>
            <w:r>
              <w:rPr>
                <w:rFonts w:hint="eastAsia" w:ascii="ＭＳ 明朝" w:hAnsi="ＭＳ 明朝"/>
                <w:color w:val="auto"/>
                <w:sz w:val="22"/>
              </w:rPr>
              <w:t>職　　　名</w:t>
            </w:r>
          </w:p>
        </w:tc>
        <w:tc>
          <w:tcPr>
            <w:tcW w:w="185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color w:val="auto"/>
                <w:sz w:val="22"/>
              </w:rPr>
            </w:pPr>
            <w:r>
              <w:rPr>
                <w:rFonts w:hint="eastAsia" w:ascii="ＭＳ 明朝" w:hAnsi="ＭＳ 明朝"/>
                <w:color w:val="auto"/>
                <w:sz w:val="22"/>
              </w:rPr>
              <w:t>氏　　　名</w:t>
            </w:r>
          </w:p>
        </w:tc>
        <w:tc>
          <w:tcPr>
            <w:tcW w:w="42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color w:val="auto"/>
                <w:sz w:val="22"/>
              </w:rPr>
            </w:pPr>
            <w:r>
              <w:rPr>
                <w:rFonts w:hint="eastAsia" w:ascii="ＭＳ 明朝" w:hAnsi="ＭＳ 明朝"/>
                <w:color w:val="auto"/>
                <w:sz w:val="22"/>
              </w:rPr>
              <w:t>委　　員　　任　　期</w:t>
            </w:r>
          </w:p>
        </w:tc>
      </w:tr>
      <w:tr>
        <w:trPr>
          <w:trHeight w:val="454" w:hRule="atLeast"/>
        </w:trPr>
        <w:tc>
          <w:tcPr>
            <w:tcW w:w="19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color w:val="auto"/>
                <w:sz w:val="22"/>
              </w:rPr>
            </w:pPr>
            <w:r>
              <w:rPr>
                <w:rFonts w:hint="eastAsia" w:ascii="ＭＳ 明朝" w:hAnsi="ＭＳ 明朝"/>
                <w:color w:val="auto"/>
                <w:sz w:val="22"/>
              </w:rPr>
              <w:t>教育長</w:t>
            </w:r>
          </w:p>
        </w:tc>
        <w:tc>
          <w:tcPr>
            <w:tcW w:w="185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left"/>
              <w:rPr>
                <w:rFonts w:hint="default" w:ascii="ＭＳ 明朝" w:hAnsi="ＭＳ 明朝"/>
                <w:color w:val="auto"/>
                <w:sz w:val="22"/>
              </w:rPr>
            </w:pPr>
            <w:r>
              <w:rPr>
                <w:rFonts w:hint="eastAsia" w:ascii="ＭＳ 明朝" w:hAnsi="ＭＳ 明朝"/>
                <w:color w:val="auto"/>
                <w:sz w:val="22"/>
              </w:rPr>
              <w:t>増　渕　　忍</w:t>
            </w:r>
          </w:p>
        </w:tc>
        <w:tc>
          <w:tcPr>
            <w:tcW w:w="42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color w:val="auto"/>
                <w:sz w:val="22"/>
              </w:rPr>
            </w:pPr>
            <w:r>
              <w:rPr>
                <w:rFonts w:hint="eastAsia" w:ascii="ＭＳ 明朝" w:hAnsi="ＭＳ 明朝"/>
                <w:color w:val="auto"/>
                <w:sz w:val="22"/>
              </w:rPr>
              <w:t>Ｒ</w:t>
            </w:r>
            <w:r>
              <w:rPr>
                <w:rFonts w:hint="eastAsia" w:ascii="ＭＳ 明朝" w:hAnsi="ＭＳ 明朝"/>
                <w:color w:val="auto"/>
                <w:sz w:val="22"/>
              </w:rPr>
              <w:t>7</w:t>
            </w:r>
            <w:r>
              <w:rPr>
                <w:rFonts w:hint="eastAsia" w:ascii="ＭＳ 明朝" w:hAnsi="ＭＳ 明朝"/>
                <w:color w:val="auto"/>
                <w:sz w:val="22"/>
              </w:rPr>
              <w:t>．</w:t>
            </w:r>
            <w:r>
              <w:rPr>
                <w:rFonts w:hint="eastAsia" w:ascii="ＭＳ 明朝" w:hAnsi="ＭＳ 明朝"/>
                <w:color w:val="auto"/>
                <w:sz w:val="22"/>
              </w:rPr>
              <w:t>11</w:t>
            </w:r>
            <w:r>
              <w:rPr>
                <w:rFonts w:hint="eastAsia" w:ascii="ＭＳ 明朝" w:hAnsi="ＭＳ 明朝"/>
                <w:color w:val="auto"/>
                <w:sz w:val="22"/>
              </w:rPr>
              <w:t>．</w:t>
            </w:r>
            <w:r>
              <w:rPr>
                <w:rFonts w:hint="eastAsia" w:ascii="ＭＳ 明朝" w:hAnsi="ＭＳ 明朝"/>
                <w:color w:val="auto"/>
                <w:sz w:val="22"/>
              </w:rPr>
              <w:t>10</w:t>
            </w:r>
            <w:r>
              <w:rPr>
                <w:rFonts w:hint="eastAsia" w:ascii="ＭＳ 明朝" w:hAnsi="ＭＳ 明朝"/>
                <w:color w:val="auto"/>
                <w:sz w:val="22"/>
              </w:rPr>
              <w:t>からＲ</w:t>
            </w:r>
            <w:r>
              <w:rPr>
                <w:rFonts w:hint="eastAsia" w:ascii="ＭＳ 明朝" w:hAnsi="ＭＳ 明朝"/>
                <w:color w:val="auto"/>
                <w:sz w:val="22"/>
              </w:rPr>
              <w:t>10</w:t>
            </w:r>
            <w:r>
              <w:rPr>
                <w:rFonts w:hint="eastAsia" w:ascii="ＭＳ 明朝" w:hAnsi="ＭＳ 明朝"/>
                <w:color w:val="auto"/>
                <w:sz w:val="22"/>
              </w:rPr>
              <w:t>．</w:t>
            </w:r>
            <w:r>
              <w:rPr>
                <w:rFonts w:hint="eastAsia" w:ascii="ＭＳ 明朝" w:hAnsi="ＭＳ 明朝"/>
                <w:color w:val="auto"/>
                <w:sz w:val="22"/>
              </w:rPr>
              <w:t>11</w:t>
            </w:r>
            <w:r>
              <w:rPr>
                <w:rFonts w:hint="eastAsia" w:ascii="ＭＳ 明朝" w:hAnsi="ＭＳ 明朝"/>
                <w:color w:val="auto"/>
                <w:sz w:val="22"/>
              </w:rPr>
              <w:t>．</w:t>
            </w:r>
            <w:r>
              <w:rPr>
                <w:rFonts w:hint="eastAsia" w:ascii="ＭＳ 明朝" w:hAnsi="ＭＳ 明朝"/>
                <w:color w:val="auto"/>
                <w:sz w:val="22"/>
              </w:rPr>
              <w:t>9</w:t>
            </w:r>
            <w:r>
              <w:rPr>
                <w:rFonts w:hint="eastAsia" w:ascii="ＭＳ 明朝" w:hAnsi="ＭＳ 明朝"/>
                <w:color w:val="auto"/>
                <w:sz w:val="22"/>
              </w:rPr>
              <w:t>（</w:t>
            </w:r>
            <w:r>
              <w:rPr>
                <w:rFonts w:hint="eastAsia" w:ascii="ＭＳ 明朝" w:hAnsi="ＭＳ 明朝"/>
                <w:color w:val="auto"/>
                <w:sz w:val="22"/>
              </w:rPr>
              <w:t>2</w:t>
            </w:r>
            <w:r>
              <w:rPr>
                <w:rFonts w:hint="eastAsia" w:ascii="ＭＳ 明朝" w:hAnsi="ＭＳ 明朝"/>
                <w:color w:val="auto"/>
                <w:sz w:val="22"/>
              </w:rPr>
              <w:t>期目）</w:t>
            </w:r>
          </w:p>
        </w:tc>
      </w:tr>
      <w:tr>
        <w:trPr>
          <w:trHeight w:val="454" w:hRule="atLeast"/>
        </w:trPr>
        <w:tc>
          <w:tcPr>
            <w:tcW w:w="19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color w:val="auto"/>
                <w:sz w:val="22"/>
              </w:rPr>
            </w:pPr>
            <w:r>
              <w:rPr>
                <w:rFonts w:hint="eastAsia" w:ascii="ＭＳ 明朝" w:hAnsi="ＭＳ 明朝"/>
                <w:color w:val="auto"/>
                <w:sz w:val="22"/>
              </w:rPr>
              <w:t>教育長職務代理</w:t>
            </w:r>
          </w:p>
        </w:tc>
        <w:tc>
          <w:tcPr>
            <w:tcW w:w="185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color w:val="auto"/>
                <w:sz w:val="22"/>
              </w:rPr>
            </w:pPr>
            <w:r>
              <w:rPr>
                <w:rFonts w:hint="eastAsia" w:ascii="ＭＳ 明朝" w:hAnsi="ＭＳ 明朝"/>
                <w:color w:val="auto"/>
                <w:sz w:val="22"/>
              </w:rPr>
              <w:t>清　水　智　生</w:t>
            </w:r>
          </w:p>
        </w:tc>
        <w:tc>
          <w:tcPr>
            <w:tcW w:w="42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color w:val="auto"/>
                <w:sz w:val="22"/>
              </w:rPr>
            </w:pPr>
            <w:r>
              <w:rPr>
                <w:rFonts w:hint="eastAsia" w:ascii="ＭＳ 明朝" w:hAnsi="ＭＳ 明朝"/>
                <w:color w:val="auto"/>
                <w:sz w:val="22"/>
              </w:rPr>
              <w:t>Ｒ</w:t>
            </w:r>
            <w:r>
              <w:rPr>
                <w:rFonts w:hint="eastAsia" w:ascii="ＭＳ 明朝" w:hAnsi="ＭＳ 明朝"/>
                <w:color w:val="auto"/>
                <w:sz w:val="22"/>
              </w:rPr>
              <w:t>4</w:t>
            </w:r>
            <w:r>
              <w:rPr>
                <w:rFonts w:hint="eastAsia" w:ascii="ＭＳ 明朝" w:hAnsi="ＭＳ 明朝"/>
                <w:color w:val="auto"/>
                <w:sz w:val="22"/>
              </w:rPr>
              <w:t>．</w:t>
            </w:r>
            <w:r>
              <w:rPr>
                <w:rFonts w:hint="default" w:ascii="ＭＳ 明朝" w:hAnsi="ＭＳ 明朝"/>
                <w:color w:val="auto"/>
                <w:sz w:val="22"/>
              </w:rPr>
              <w:t>1</w:t>
            </w:r>
            <w:r>
              <w:rPr>
                <w:rFonts w:hint="eastAsia" w:ascii="ＭＳ 明朝" w:hAnsi="ＭＳ 明朝"/>
                <w:color w:val="auto"/>
                <w:sz w:val="22"/>
              </w:rPr>
              <w:t>0</w:t>
            </w:r>
            <w:r>
              <w:rPr>
                <w:rFonts w:hint="eastAsia" w:ascii="ＭＳ 明朝" w:hAnsi="ＭＳ 明朝"/>
                <w:color w:val="auto"/>
                <w:sz w:val="22"/>
              </w:rPr>
              <w:t>．</w:t>
            </w:r>
            <w:r>
              <w:rPr>
                <w:rFonts w:hint="eastAsia" w:ascii="ＭＳ 明朝" w:hAnsi="ＭＳ 明朝"/>
                <w:color w:val="auto"/>
                <w:sz w:val="22"/>
              </w:rPr>
              <w:t xml:space="preserve"> </w:t>
            </w:r>
            <w:r>
              <w:rPr>
                <w:rFonts w:hint="default" w:ascii="ＭＳ 明朝" w:hAnsi="ＭＳ 明朝"/>
                <w:color w:val="auto"/>
                <w:sz w:val="22"/>
              </w:rPr>
              <w:t>1</w:t>
            </w:r>
            <w:r>
              <w:rPr>
                <w:rFonts w:hint="eastAsia" w:ascii="ＭＳ 明朝" w:hAnsi="ＭＳ 明朝"/>
                <w:color w:val="auto"/>
                <w:sz w:val="22"/>
              </w:rPr>
              <w:t>からＲ</w:t>
            </w:r>
            <w:r>
              <w:rPr>
                <w:rFonts w:hint="eastAsia" w:ascii="ＭＳ 明朝" w:hAnsi="ＭＳ 明朝"/>
                <w:color w:val="auto"/>
                <w:sz w:val="22"/>
              </w:rPr>
              <w:t>8</w:t>
            </w:r>
            <w:r>
              <w:rPr>
                <w:rFonts w:hint="eastAsia" w:ascii="ＭＳ 明朝" w:hAnsi="ＭＳ 明朝"/>
                <w:color w:val="auto"/>
                <w:sz w:val="22"/>
              </w:rPr>
              <w:t>．</w:t>
            </w:r>
            <w:r>
              <w:rPr>
                <w:rFonts w:hint="eastAsia" w:ascii="ＭＳ 明朝" w:hAnsi="ＭＳ 明朝"/>
                <w:color w:val="auto"/>
                <w:sz w:val="22"/>
              </w:rPr>
              <w:t xml:space="preserve"> 9</w:t>
            </w:r>
            <w:r>
              <w:rPr>
                <w:rFonts w:hint="eastAsia" w:ascii="ＭＳ 明朝" w:hAnsi="ＭＳ 明朝"/>
                <w:color w:val="auto"/>
                <w:sz w:val="22"/>
              </w:rPr>
              <w:t>．</w:t>
            </w:r>
            <w:r>
              <w:rPr>
                <w:rFonts w:hint="eastAsia" w:ascii="ＭＳ 明朝" w:hAnsi="ＭＳ 明朝"/>
                <w:color w:val="auto"/>
                <w:sz w:val="22"/>
              </w:rPr>
              <w:t>30</w:t>
            </w:r>
            <w:r>
              <w:rPr>
                <w:rFonts w:hint="eastAsia" w:ascii="ＭＳ 明朝" w:hAnsi="ＭＳ 明朝"/>
                <w:color w:val="auto"/>
                <w:sz w:val="22"/>
              </w:rPr>
              <w:t>（</w:t>
            </w:r>
            <w:r>
              <w:rPr>
                <w:rFonts w:hint="eastAsia" w:ascii="ＭＳ 明朝" w:hAnsi="ＭＳ 明朝"/>
                <w:color w:val="auto"/>
                <w:sz w:val="22"/>
              </w:rPr>
              <w:t>3</w:t>
            </w:r>
            <w:r>
              <w:rPr>
                <w:rFonts w:hint="eastAsia" w:ascii="ＭＳ 明朝" w:hAnsi="ＭＳ 明朝"/>
                <w:color w:val="auto"/>
                <w:sz w:val="22"/>
              </w:rPr>
              <w:t>期目）</w:t>
            </w:r>
          </w:p>
        </w:tc>
      </w:tr>
      <w:tr>
        <w:trPr>
          <w:trHeight w:val="454" w:hRule="atLeast"/>
        </w:trPr>
        <w:tc>
          <w:tcPr>
            <w:tcW w:w="19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color w:val="auto"/>
                <w:sz w:val="22"/>
              </w:rPr>
            </w:pPr>
            <w:r>
              <w:rPr>
                <w:rFonts w:hint="eastAsia" w:ascii="ＭＳ 明朝" w:hAnsi="ＭＳ 明朝"/>
                <w:color w:val="auto"/>
                <w:sz w:val="22"/>
              </w:rPr>
              <w:t>委　員</w:t>
            </w:r>
          </w:p>
        </w:tc>
        <w:tc>
          <w:tcPr>
            <w:tcW w:w="185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left"/>
              <w:rPr>
                <w:rFonts w:hint="default" w:ascii="ＭＳ 明朝" w:hAnsi="ＭＳ 明朝"/>
                <w:color w:val="auto"/>
                <w:sz w:val="22"/>
              </w:rPr>
            </w:pPr>
            <w:r>
              <w:rPr>
                <w:rFonts w:hint="eastAsia" w:ascii="ＭＳ 明朝" w:hAnsi="ＭＳ 明朝"/>
                <w:color w:val="auto"/>
                <w:sz w:val="22"/>
              </w:rPr>
              <w:t>吉　田　由　美</w:t>
            </w:r>
          </w:p>
        </w:tc>
        <w:tc>
          <w:tcPr>
            <w:tcW w:w="42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color w:val="auto"/>
                <w:sz w:val="22"/>
              </w:rPr>
            </w:pPr>
            <w:r>
              <w:rPr>
                <w:rFonts w:hint="eastAsia" w:ascii="ＭＳ 明朝" w:hAnsi="ＭＳ 明朝"/>
                <w:color w:val="auto"/>
                <w:sz w:val="22"/>
              </w:rPr>
              <w:t>Ｒ</w:t>
            </w:r>
            <w:r>
              <w:rPr>
                <w:rFonts w:hint="eastAsia" w:ascii="ＭＳ 明朝" w:hAnsi="ＭＳ 明朝"/>
                <w:color w:val="auto"/>
                <w:sz w:val="22"/>
              </w:rPr>
              <w:t>7</w:t>
            </w:r>
            <w:r>
              <w:rPr>
                <w:rFonts w:hint="eastAsia" w:ascii="ＭＳ 明朝" w:hAnsi="ＭＳ 明朝"/>
                <w:color w:val="auto"/>
                <w:sz w:val="22"/>
              </w:rPr>
              <w:t>．</w:t>
            </w:r>
            <w:r>
              <w:rPr>
                <w:rFonts w:hint="eastAsia" w:ascii="ＭＳ 明朝" w:hAnsi="ＭＳ 明朝"/>
                <w:color w:val="auto"/>
                <w:sz w:val="22"/>
              </w:rPr>
              <w:t>10</w:t>
            </w:r>
            <w:r>
              <w:rPr>
                <w:rFonts w:hint="eastAsia" w:ascii="ＭＳ 明朝" w:hAnsi="ＭＳ 明朝"/>
                <w:color w:val="auto"/>
                <w:sz w:val="22"/>
              </w:rPr>
              <w:t>．</w:t>
            </w:r>
            <w:r>
              <w:rPr>
                <w:rFonts w:hint="eastAsia" w:ascii="ＭＳ 明朝" w:hAnsi="ＭＳ 明朝"/>
                <w:color w:val="auto"/>
                <w:sz w:val="22"/>
              </w:rPr>
              <w:t xml:space="preserve"> 1</w:t>
            </w:r>
            <w:r>
              <w:rPr>
                <w:rFonts w:hint="eastAsia" w:ascii="ＭＳ 明朝" w:hAnsi="ＭＳ 明朝"/>
                <w:color w:val="auto"/>
                <w:sz w:val="22"/>
              </w:rPr>
              <w:t>からＲ</w:t>
            </w:r>
            <w:r>
              <w:rPr>
                <w:rFonts w:hint="eastAsia" w:ascii="ＭＳ 明朝" w:hAnsi="ＭＳ 明朝"/>
                <w:color w:val="auto"/>
                <w:sz w:val="22"/>
              </w:rPr>
              <w:t>11</w:t>
            </w:r>
            <w:r>
              <w:rPr>
                <w:rFonts w:hint="eastAsia" w:ascii="ＭＳ 明朝" w:hAnsi="ＭＳ 明朝"/>
                <w:color w:val="auto"/>
                <w:sz w:val="22"/>
              </w:rPr>
              <w:t>．</w:t>
            </w:r>
            <w:r>
              <w:rPr>
                <w:rFonts w:hint="eastAsia" w:ascii="ＭＳ 明朝" w:hAnsi="ＭＳ 明朝"/>
                <w:color w:val="auto"/>
                <w:sz w:val="22"/>
              </w:rPr>
              <w:t>9</w:t>
            </w:r>
            <w:r>
              <w:rPr>
                <w:rFonts w:hint="eastAsia" w:ascii="ＭＳ 明朝" w:hAnsi="ＭＳ 明朝"/>
                <w:color w:val="auto"/>
                <w:sz w:val="22"/>
              </w:rPr>
              <w:t>．</w:t>
            </w:r>
            <w:r>
              <w:rPr>
                <w:rFonts w:hint="eastAsia" w:ascii="ＭＳ 明朝" w:hAnsi="ＭＳ 明朝"/>
                <w:color w:val="auto"/>
                <w:sz w:val="22"/>
              </w:rPr>
              <w:t>30</w:t>
            </w:r>
            <w:r>
              <w:rPr>
                <w:rFonts w:hint="eastAsia" w:ascii="ＭＳ 明朝" w:hAnsi="ＭＳ 明朝"/>
                <w:color w:val="auto"/>
                <w:sz w:val="22"/>
              </w:rPr>
              <w:t>（</w:t>
            </w:r>
            <w:r>
              <w:rPr>
                <w:rFonts w:hint="eastAsia" w:ascii="ＭＳ 明朝" w:hAnsi="ＭＳ 明朝"/>
                <w:color w:val="auto"/>
                <w:sz w:val="22"/>
              </w:rPr>
              <w:t>4</w:t>
            </w:r>
            <w:r>
              <w:rPr>
                <w:rFonts w:hint="eastAsia" w:ascii="ＭＳ 明朝" w:hAnsi="ＭＳ 明朝"/>
                <w:color w:val="auto"/>
                <w:sz w:val="22"/>
              </w:rPr>
              <w:t>期目）</w:t>
            </w:r>
          </w:p>
        </w:tc>
      </w:tr>
      <w:tr>
        <w:trPr>
          <w:trHeight w:val="454" w:hRule="atLeast"/>
        </w:trPr>
        <w:tc>
          <w:tcPr>
            <w:tcW w:w="19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color w:val="auto"/>
                <w:sz w:val="22"/>
              </w:rPr>
            </w:pPr>
            <w:r>
              <w:rPr>
                <w:rFonts w:hint="eastAsia" w:ascii="ＭＳ 明朝" w:hAnsi="ＭＳ 明朝"/>
                <w:color w:val="auto"/>
                <w:sz w:val="22"/>
              </w:rPr>
              <w:t>委　員</w:t>
            </w:r>
          </w:p>
        </w:tc>
        <w:tc>
          <w:tcPr>
            <w:tcW w:w="185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left"/>
              <w:rPr>
                <w:rFonts w:hint="default" w:ascii="ＭＳ 明朝" w:hAnsi="ＭＳ 明朝"/>
                <w:color w:val="auto"/>
                <w:sz w:val="22"/>
              </w:rPr>
            </w:pPr>
            <w:r>
              <w:rPr>
                <w:rFonts w:hint="eastAsia" w:ascii="ＭＳ 明朝" w:hAnsi="ＭＳ 明朝"/>
                <w:color w:val="auto"/>
                <w:sz w:val="22"/>
              </w:rPr>
              <w:t>松　枝　健　一</w:t>
            </w:r>
          </w:p>
        </w:tc>
        <w:tc>
          <w:tcPr>
            <w:tcW w:w="42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color w:val="auto"/>
                <w:sz w:val="22"/>
              </w:rPr>
            </w:pPr>
            <w:r>
              <w:rPr>
                <w:rFonts w:hint="eastAsia" w:ascii="ＭＳ 明朝" w:hAnsi="ＭＳ 明朝"/>
                <w:color w:val="auto"/>
                <w:sz w:val="22"/>
              </w:rPr>
              <w:t>Ｒ</w:t>
            </w:r>
            <w:r>
              <w:rPr>
                <w:rFonts w:hint="eastAsia" w:ascii="ＭＳ 明朝" w:hAnsi="ＭＳ 明朝"/>
                <w:color w:val="auto"/>
                <w:sz w:val="22"/>
              </w:rPr>
              <w:t>5</w:t>
            </w:r>
            <w:r>
              <w:rPr>
                <w:rFonts w:hint="eastAsia" w:ascii="ＭＳ 明朝" w:hAnsi="ＭＳ 明朝"/>
                <w:color w:val="auto"/>
                <w:sz w:val="22"/>
              </w:rPr>
              <w:t>．</w:t>
            </w:r>
            <w:r>
              <w:rPr>
                <w:rFonts w:hint="default" w:ascii="ＭＳ 明朝" w:hAnsi="ＭＳ 明朝"/>
                <w:color w:val="auto"/>
                <w:sz w:val="22"/>
              </w:rPr>
              <w:t>1</w:t>
            </w:r>
            <w:r>
              <w:rPr>
                <w:rFonts w:hint="eastAsia" w:ascii="ＭＳ 明朝" w:hAnsi="ＭＳ 明朝"/>
                <w:color w:val="auto"/>
                <w:sz w:val="22"/>
              </w:rPr>
              <w:t>0</w:t>
            </w:r>
            <w:r>
              <w:rPr>
                <w:rFonts w:hint="eastAsia" w:ascii="ＭＳ 明朝" w:hAnsi="ＭＳ 明朝"/>
                <w:color w:val="auto"/>
                <w:sz w:val="22"/>
              </w:rPr>
              <w:t>．</w:t>
            </w:r>
            <w:r>
              <w:rPr>
                <w:rFonts w:hint="eastAsia" w:ascii="ＭＳ 明朝" w:hAnsi="ＭＳ 明朝"/>
                <w:color w:val="auto"/>
                <w:sz w:val="22"/>
              </w:rPr>
              <w:t xml:space="preserve"> </w:t>
            </w:r>
            <w:r>
              <w:rPr>
                <w:rFonts w:hint="default" w:ascii="ＭＳ 明朝" w:hAnsi="ＭＳ 明朝"/>
                <w:color w:val="auto"/>
                <w:sz w:val="22"/>
              </w:rPr>
              <w:t>1</w:t>
            </w:r>
            <w:r>
              <w:rPr>
                <w:rFonts w:hint="eastAsia" w:ascii="ＭＳ 明朝" w:hAnsi="ＭＳ 明朝"/>
                <w:color w:val="auto"/>
                <w:sz w:val="22"/>
              </w:rPr>
              <w:t>からＲ</w:t>
            </w:r>
            <w:r>
              <w:rPr>
                <w:rFonts w:hint="eastAsia" w:ascii="ＭＳ 明朝" w:hAnsi="ＭＳ 明朝"/>
                <w:color w:val="auto"/>
                <w:sz w:val="22"/>
              </w:rPr>
              <w:t>9</w:t>
            </w:r>
            <w:r>
              <w:rPr>
                <w:rFonts w:hint="eastAsia" w:ascii="ＭＳ 明朝" w:hAnsi="ＭＳ 明朝"/>
                <w:color w:val="auto"/>
                <w:sz w:val="22"/>
              </w:rPr>
              <w:t>．</w:t>
            </w:r>
            <w:r>
              <w:rPr>
                <w:rFonts w:hint="eastAsia" w:ascii="ＭＳ 明朝" w:hAnsi="ＭＳ 明朝"/>
                <w:color w:val="auto"/>
                <w:sz w:val="22"/>
              </w:rPr>
              <w:t xml:space="preserve"> 9</w:t>
            </w:r>
            <w:r>
              <w:rPr>
                <w:rFonts w:hint="eastAsia" w:ascii="ＭＳ 明朝" w:hAnsi="ＭＳ 明朝"/>
                <w:color w:val="auto"/>
                <w:sz w:val="22"/>
              </w:rPr>
              <w:t>．</w:t>
            </w:r>
            <w:r>
              <w:rPr>
                <w:rFonts w:hint="eastAsia" w:ascii="ＭＳ 明朝" w:hAnsi="ＭＳ 明朝"/>
                <w:color w:val="auto"/>
                <w:sz w:val="22"/>
              </w:rPr>
              <w:t>30</w:t>
            </w:r>
            <w:r>
              <w:rPr>
                <w:rFonts w:hint="eastAsia" w:ascii="ＭＳ 明朝" w:hAnsi="ＭＳ 明朝"/>
                <w:color w:val="auto"/>
                <w:sz w:val="22"/>
              </w:rPr>
              <w:t>（</w:t>
            </w:r>
            <w:r>
              <w:rPr>
                <w:rFonts w:hint="eastAsia" w:ascii="ＭＳ 明朝" w:hAnsi="ＭＳ 明朝"/>
                <w:color w:val="auto"/>
                <w:sz w:val="22"/>
              </w:rPr>
              <w:t>2</w:t>
            </w:r>
            <w:r>
              <w:rPr>
                <w:rFonts w:hint="eastAsia" w:ascii="ＭＳ 明朝" w:hAnsi="ＭＳ 明朝"/>
                <w:color w:val="auto"/>
                <w:sz w:val="22"/>
              </w:rPr>
              <w:t>期目）</w:t>
            </w:r>
          </w:p>
        </w:tc>
      </w:tr>
      <w:tr>
        <w:trPr>
          <w:trHeight w:val="454" w:hRule="atLeast"/>
        </w:trPr>
        <w:tc>
          <w:tcPr>
            <w:tcW w:w="19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color w:val="auto"/>
                <w:sz w:val="22"/>
              </w:rPr>
            </w:pPr>
            <w:r>
              <w:rPr>
                <w:rFonts w:hint="eastAsia" w:ascii="ＭＳ 明朝" w:hAnsi="ＭＳ 明朝"/>
                <w:color w:val="auto"/>
                <w:sz w:val="22"/>
              </w:rPr>
              <w:t>委　員</w:t>
            </w:r>
          </w:p>
        </w:tc>
        <w:tc>
          <w:tcPr>
            <w:tcW w:w="185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left"/>
              <w:rPr>
                <w:rFonts w:hint="default" w:ascii="ＭＳ 明朝" w:hAnsi="ＭＳ 明朝"/>
                <w:color w:val="auto"/>
                <w:sz w:val="22"/>
              </w:rPr>
            </w:pPr>
            <w:r>
              <w:rPr>
                <w:rFonts w:hint="eastAsia" w:ascii="ＭＳ 明朝" w:hAnsi="ＭＳ 明朝"/>
                <w:color w:val="auto"/>
                <w:sz w:val="22"/>
              </w:rPr>
              <w:t>星　　真</w:t>
            </w:r>
            <w:r>
              <w:rPr>
                <w:rFonts w:hint="eastAsia" w:ascii="ＭＳ 明朝" w:hAnsi="ＭＳ 明朝"/>
                <w:color w:val="auto"/>
                <w:sz w:val="22"/>
              </w:rPr>
              <w:t xml:space="preserve"> </w:t>
            </w:r>
            <w:r>
              <w:rPr>
                <w:rFonts w:hint="eastAsia" w:ascii="ＭＳ 明朝" w:hAnsi="ＭＳ 明朝"/>
                <w:color w:val="auto"/>
                <w:sz w:val="22"/>
              </w:rPr>
              <w:t>紀</w:t>
            </w:r>
            <w:r>
              <w:rPr>
                <w:rFonts w:hint="eastAsia" w:ascii="ＭＳ 明朝" w:hAnsi="ＭＳ 明朝"/>
                <w:color w:val="auto"/>
                <w:sz w:val="22"/>
              </w:rPr>
              <w:t xml:space="preserve"> </w:t>
            </w:r>
            <w:r>
              <w:rPr>
                <w:rFonts w:hint="eastAsia" w:ascii="ＭＳ 明朝" w:hAnsi="ＭＳ 明朝"/>
                <w:color w:val="auto"/>
                <w:sz w:val="22"/>
              </w:rPr>
              <w:t>子</w:t>
            </w:r>
          </w:p>
        </w:tc>
        <w:tc>
          <w:tcPr>
            <w:tcW w:w="42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color w:val="auto"/>
                <w:sz w:val="22"/>
              </w:rPr>
            </w:pPr>
            <w:r>
              <w:rPr>
                <w:rFonts w:hint="eastAsia" w:ascii="ＭＳ 明朝" w:hAnsi="ＭＳ 明朝"/>
                <w:color w:val="auto"/>
                <w:sz w:val="22"/>
              </w:rPr>
              <w:t>Ｒ</w:t>
            </w:r>
            <w:r>
              <w:rPr>
                <w:rFonts w:hint="default" w:ascii="ＭＳ 明朝" w:hAnsi="ＭＳ 明朝"/>
                <w:color w:val="auto"/>
                <w:sz w:val="22"/>
              </w:rPr>
              <w:t>6</w:t>
            </w:r>
            <w:r>
              <w:rPr>
                <w:rFonts w:hint="eastAsia" w:ascii="ＭＳ 明朝" w:hAnsi="ＭＳ 明朝"/>
                <w:color w:val="auto"/>
                <w:sz w:val="22"/>
              </w:rPr>
              <w:t>．</w:t>
            </w:r>
            <w:r>
              <w:rPr>
                <w:rFonts w:hint="default" w:ascii="ＭＳ 明朝" w:hAnsi="ＭＳ 明朝"/>
                <w:color w:val="auto"/>
                <w:sz w:val="22"/>
              </w:rPr>
              <w:t>1</w:t>
            </w:r>
            <w:r>
              <w:rPr>
                <w:rFonts w:hint="eastAsia" w:ascii="ＭＳ 明朝" w:hAnsi="ＭＳ 明朝"/>
                <w:color w:val="auto"/>
                <w:sz w:val="22"/>
              </w:rPr>
              <w:t>0</w:t>
            </w:r>
            <w:r>
              <w:rPr>
                <w:rFonts w:hint="eastAsia" w:ascii="ＭＳ 明朝" w:hAnsi="ＭＳ 明朝"/>
                <w:color w:val="auto"/>
                <w:sz w:val="22"/>
              </w:rPr>
              <w:t>．</w:t>
            </w:r>
            <w:r>
              <w:rPr>
                <w:rFonts w:hint="eastAsia" w:ascii="ＭＳ 明朝" w:hAnsi="ＭＳ 明朝"/>
                <w:color w:val="auto"/>
                <w:sz w:val="22"/>
              </w:rPr>
              <w:t xml:space="preserve"> </w:t>
            </w:r>
            <w:r>
              <w:rPr>
                <w:rFonts w:hint="default" w:ascii="ＭＳ 明朝" w:hAnsi="ＭＳ 明朝"/>
                <w:color w:val="auto"/>
                <w:sz w:val="22"/>
              </w:rPr>
              <w:t>1</w:t>
            </w:r>
            <w:r>
              <w:rPr>
                <w:rFonts w:hint="eastAsia" w:ascii="ＭＳ 明朝" w:hAnsi="ＭＳ 明朝"/>
                <w:color w:val="auto"/>
                <w:sz w:val="22"/>
              </w:rPr>
              <w:t>からＲ</w:t>
            </w:r>
            <w:r>
              <w:rPr>
                <w:rFonts w:hint="eastAsia" w:ascii="ＭＳ 明朝" w:hAnsi="ＭＳ 明朝"/>
                <w:color w:val="auto"/>
                <w:sz w:val="22"/>
              </w:rPr>
              <w:t>1</w:t>
            </w:r>
            <w:r>
              <w:rPr>
                <w:rFonts w:hint="default" w:ascii="ＭＳ 明朝" w:hAnsi="ＭＳ 明朝"/>
                <w:color w:val="auto"/>
                <w:sz w:val="22"/>
              </w:rPr>
              <w:t>0.</w:t>
            </w:r>
            <w:r>
              <w:rPr>
                <w:rFonts w:hint="eastAsia" w:ascii="ＭＳ 明朝" w:hAnsi="ＭＳ 明朝"/>
                <w:color w:val="auto"/>
                <w:sz w:val="22"/>
              </w:rPr>
              <w:t xml:space="preserve"> 9</w:t>
            </w:r>
            <w:r>
              <w:rPr>
                <w:rFonts w:hint="eastAsia" w:ascii="ＭＳ 明朝" w:hAnsi="ＭＳ 明朝"/>
                <w:color w:val="auto"/>
                <w:sz w:val="22"/>
              </w:rPr>
              <w:t>．</w:t>
            </w:r>
            <w:r>
              <w:rPr>
                <w:rFonts w:hint="eastAsia" w:ascii="ＭＳ 明朝" w:hAnsi="ＭＳ 明朝"/>
                <w:color w:val="auto"/>
                <w:sz w:val="22"/>
              </w:rPr>
              <w:t>30</w:t>
            </w:r>
            <w:r>
              <w:rPr>
                <w:rFonts w:hint="eastAsia" w:ascii="ＭＳ 明朝" w:hAnsi="ＭＳ 明朝"/>
                <w:color w:val="auto"/>
                <w:sz w:val="22"/>
              </w:rPr>
              <w:t>（</w:t>
            </w:r>
            <w:r>
              <w:rPr>
                <w:rFonts w:hint="default" w:ascii="ＭＳ 明朝" w:hAnsi="ＭＳ 明朝"/>
                <w:color w:val="auto"/>
                <w:sz w:val="22"/>
              </w:rPr>
              <w:t>1</w:t>
            </w:r>
            <w:r>
              <w:rPr>
                <w:rFonts w:hint="eastAsia" w:ascii="ＭＳ 明朝" w:hAnsi="ＭＳ 明朝"/>
                <w:color w:val="auto"/>
                <w:sz w:val="22"/>
              </w:rPr>
              <w:t>期目）</w:t>
            </w:r>
          </w:p>
        </w:tc>
      </w:tr>
    </w:tbl>
    <w:p>
      <w:pPr>
        <w:pStyle w:val="0"/>
        <w:rPr>
          <w:rFonts w:hint="default"/>
          <w:sz w:val="22"/>
        </w:rPr>
      </w:pPr>
    </w:p>
    <w:sectPr>
      <w:pgSz w:w="11906" w:h="16838"/>
      <w:pgMar w:top="1985" w:right="1701" w:bottom="1701" w:left="1701" w:header="851" w:footer="992" w:gutter="0"/>
      <w:pgNumType w:fmt="numberInDash" w:start="1"/>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omic Sans MS">
    <w:panose1 w:val="00000000000000000000"/>
    <w:charset w:val="00"/>
    <w:family w:val="script"/>
    <w:notTrueType/>
    <w:pitch w:val="variable"/>
    <w:sig w:usb0="00000000" w:usb1="00000000" w:usb2="00000000" w:usb3="00000000" w:csb0="FF000000" w:csb1="00000000"/>
  </w:font>
  <w:font w:name="Candara Light">
    <w:panose1 w:val="00000000000000000000"/>
    <w:charset w:val="00"/>
    <w:family w:val="swiss"/>
    <w:notTrueType/>
    <w:pitch w:val="variable"/>
    <w:sig w:usb0="00000000" w:usb1="00000000" w:usb2="00000000" w:usb3="00000000" w:csb0="FF000000" w:csb1="00000000"/>
  </w:font>
  <w:font w:name="Cascadia Mono Light">
    <w:panose1 w:val="00000000000000000000"/>
    <w:charset w:val="00"/>
    <w:family w:val="modern"/>
    <w:notTrueType/>
    <w:pitch w:val="fixed"/>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center"/>
      <w:rPr>
        <w:rFonts w:hint="default"/>
      </w:rPr>
    </w:pPr>
  </w:p>
  <w:p>
    <w:pPr>
      <w:pStyle w:val="15"/>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42"/>
      <w:rPr>
        <w:rStyle w:val="16"/>
        <w:rFonts w:hint="default"/>
      </w:rPr>
    </w:pPr>
    <w:r>
      <w:rPr>
        <w:rFonts w:hint="eastAsia"/>
      </w:rPr>
      <w:fldChar w:fldCharType="begin"/>
    </w:r>
    <w:r>
      <w:rPr>
        <w:rFonts w:hint="eastAsia"/>
      </w:rPr>
      <w:instrText xml:space="preserve">PAGE  \* MERGEFORMAT </w:instrText>
    </w:r>
    <w:r>
      <w:rPr>
        <w:rFonts w:hint="eastAsia"/>
      </w:rPr>
      <w:fldChar w:fldCharType="end"/>
    </w:r>
  </w:p>
  <w:p>
    <w:pPr>
      <w:pStyle w:val="15"/>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797142399"/>
      <w:docPartObj>
        <w:docPartGallery w:val="Page Numbers (Bottom of Page)"/>
        <w:docPartUnique/>
      </w:docPartObj>
    </w:sdtPr>
    <w:sdtEndPr>
      <w:rPr>
        <w:rFonts w:hint="default"/>
      </w:rPr>
    </w:sdtEndPr>
    <w:sdtContent>
      <w:p>
        <w:pPr>
          <w:pStyle w:val="15"/>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- 1 -</w:t>
        </w:r>
        <w:r>
          <w:rPr>
            <w:rFonts w:hint="eastAsia"/>
          </w:rPr>
          <w:fldChar w:fldCharType="end"/>
        </w:r>
      </w:p>
    </w:sdtContent>
  </w:sdt>
  <w:p>
    <w:pPr>
      <w:pStyle w:val="15"/>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7EA2B320"/>
    <w:lvl w:ilvl="0" w:tplc="0458FDF6">
      <w:start w:val="1"/>
      <w:numFmt w:val="decimalFullWidth"/>
      <w:lvlText w:val="(%1)"/>
      <w:lvlJc w:val="left"/>
      <w:pPr>
        <w:ind w:left="883" w:hanging="660"/>
      </w:pPr>
      <w:rPr>
        <w:rFonts w:hint="default"/>
      </w:rPr>
    </w:lvl>
    <w:lvl w:ilvl="1" w:tplc="04090017">
      <w:start w:val="1"/>
      <w:numFmt w:val="aiueoFullWidth"/>
      <w:lvlText w:val="(%2)"/>
      <w:lvlJc w:val="left"/>
      <w:pPr>
        <w:ind w:left="1063" w:hanging="420"/>
      </w:pPr>
    </w:lvl>
    <w:lvl w:ilvl="2" w:tplc="04090011">
      <w:start w:val="1"/>
      <w:numFmt w:val="decimalEnclosedCircle"/>
      <w:lvlText w:val="%3"/>
      <w:lvlJc w:val="left"/>
      <w:pPr>
        <w:ind w:left="1483" w:hanging="420"/>
      </w:pPr>
    </w:lvl>
    <w:lvl w:ilvl="3" w:tplc="0409000F">
      <w:start w:val="1"/>
      <w:numFmt w:val="decimal"/>
      <w:lvlText w:val="%4."/>
      <w:lvlJc w:val="left"/>
      <w:pPr>
        <w:ind w:left="1903" w:hanging="420"/>
      </w:pPr>
    </w:lvl>
    <w:lvl w:ilvl="4" w:tplc="04090017">
      <w:start w:val="1"/>
      <w:numFmt w:val="aiueoFullWidth"/>
      <w:lvlText w:val="(%5)"/>
      <w:lvlJc w:val="left"/>
      <w:pPr>
        <w:ind w:left="2323" w:hanging="420"/>
      </w:pPr>
    </w:lvl>
    <w:lvl w:ilvl="5" w:tplc="04090011">
      <w:start w:val="1"/>
      <w:numFmt w:val="decimalEnclosedCircle"/>
      <w:lvlText w:val="%6"/>
      <w:lvlJc w:val="left"/>
      <w:pPr>
        <w:ind w:left="2743" w:hanging="420"/>
      </w:pPr>
    </w:lvl>
    <w:lvl w:ilvl="6" w:tplc="0409000F">
      <w:start w:val="1"/>
      <w:numFmt w:val="decimal"/>
      <w:lvlText w:val="%7."/>
      <w:lvlJc w:val="left"/>
      <w:pPr>
        <w:ind w:left="3163" w:hanging="420"/>
      </w:pPr>
    </w:lvl>
    <w:lvl w:ilvl="7" w:tplc="04090017">
      <w:start w:val="1"/>
      <w:numFmt w:val="aiueoFullWidth"/>
      <w:lvlText w:val="(%8)"/>
      <w:lvlJc w:val="left"/>
      <w:pPr>
        <w:ind w:left="3583" w:hanging="420"/>
      </w:pPr>
    </w:lvl>
    <w:lvl w:ilvl="8" w:tplc="04090011">
      <w:start w:val="1"/>
      <w:numFmt w:val="decimalEnclosedCircle"/>
      <w:lvlText w:val="%9"/>
      <w:lvlJc w:val="left"/>
      <w:pPr>
        <w:ind w:left="4003" w:hanging="420"/>
      </w:pPr>
    </w:lvl>
  </w:abstractNum>
  <w:abstractNum w:abstractNumId="1">
    <w:nsid w:val="00000002"/>
    <w:multiLevelType w:val="hybridMultilevel"/>
    <w:tmpl w:val="2B3C1C7E"/>
    <w:lvl w:ilvl="0" w:tplc="54BC1D58">
      <w:start w:val="1"/>
      <w:numFmt w:val="decimalFullWidth"/>
      <w:lvlText w:val="（%1）"/>
      <w:lvlJc w:val="left"/>
      <w:pPr>
        <w:ind w:left="1602" w:hanging="720"/>
      </w:pPr>
      <w:rPr>
        <w:rFonts w:hint="default"/>
      </w:rPr>
    </w:lvl>
    <w:lvl w:ilvl="1" w:tplc="04090017">
      <w:start w:val="1"/>
      <w:numFmt w:val="aiueoFullWidth"/>
      <w:lvlText w:val="(%2)"/>
      <w:lvlJc w:val="left"/>
      <w:pPr>
        <w:ind w:left="1762" w:hanging="440"/>
      </w:pPr>
    </w:lvl>
    <w:lvl w:ilvl="2" w:tplc="04090011">
      <w:start w:val="1"/>
      <w:numFmt w:val="decimalEnclosedCircle"/>
      <w:lvlText w:val="%3"/>
      <w:lvlJc w:val="left"/>
      <w:pPr>
        <w:ind w:left="2202" w:hanging="440"/>
      </w:pPr>
    </w:lvl>
    <w:lvl w:ilvl="3" w:tplc="0409000F">
      <w:start w:val="1"/>
      <w:numFmt w:val="decimal"/>
      <w:lvlText w:val="%4."/>
      <w:lvlJc w:val="left"/>
      <w:pPr>
        <w:ind w:left="2642" w:hanging="440"/>
      </w:pPr>
    </w:lvl>
    <w:lvl w:ilvl="4" w:tplc="04090017">
      <w:start w:val="1"/>
      <w:numFmt w:val="aiueoFullWidth"/>
      <w:lvlText w:val="(%5)"/>
      <w:lvlJc w:val="left"/>
      <w:pPr>
        <w:ind w:left="3082" w:hanging="440"/>
      </w:pPr>
    </w:lvl>
    <w:lvl w:ilvl="5" w:tplc="04090011">
      <w:start w:val="1"/>
      <w:numFmt w:val="decimalEnclosedCircle"/>
      <w:lvlText w:val="%6"/>
      <w:lvlJc w:val="left"/>
      <w:pPr>
        <w:ind w:left="3522" w:hanging="440"/>
      </w:pPr>
    </w:lvl>
    <w:lvl w:ilvl="6" w:tplc="0409000F">
      <w:start w:val="1"/>
      <w:numFmt w:val="decimal"/>
      <w:lvlText w:val="%7."/>
      <w:lvlJc w:val="left"/>
      <w:pPr>
        <w:ind w:left="3962" w:hanging="440"/>
      </w:pPr>
    </w:lvl>
    <w:lvl w:ilvl="7" w:tplc="04090017">
      <w:start w:val="1"/>
      <w:numFmt w:val="aiueoFullWidth"/>
      <w:lvlText w:val="(%8)"/>
      <w:lvlJc w:val="left"/>
      <w:pPr>
        <w:ind w:left="4402" w:hanging="440"/>
      </w:pPr>
    </w:lvl>
    <w:lvl w:ilvl="8" w:tplc="04090011">
      <w:start w:val="1"/>
      <w:numFmt w:val="decimalEnclosedCircle"/>
      <w:lvlText w:val="%9"/>
      <w:lvlJc w:val="left"/>
      <w:pPr>
        <w:ind w:left="4842" w:hanging="440"/>
      </w:pPr>
    </w:lvl>
  </w:abstractNum>
  <w:abstractNum w:abstractNumId="2">
    <w:nsid w:val="00000003"/>
    <w:multiLevelType w:val="hybridMultilevel"/>
    <w:tmpl w:val="19EA8762"/>
    <w:lvl w:ilvl="0" w:tplc="B97659C4">
      <w:start w:val="3"/>
      <w:numFmt w:val="decimalFullWidth"/>
      <w:lvlText w:val="（%1）"/>
      <w:lvlJc w:val="left"/>
      <w:pPr>
        <w:ind w:left="720" w:hanging="720"/>
      </w:pPr>
      <w:rPr>
        <w:rFonts w:hint="default"/>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num w:numId="1">
    <w:abstractNumId w:val="0"/>
  </w:num>
  <w:num w:numId="2">
    <w:abstractNumId w:val="1"/>
  </w:num>
  <w:num w:numId="3">
    <w:abstractNumId w:val="2"/>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drawingGridHorizontalSpacing w:val="12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22"/>
    <w:uiPriority w:val="0"/>
    <w:pPr>
      <w:tabs>
        <w:tab w:val="center" w:leader="none" w:pos="4252"/>
        <w:tab w:val="right" w:leader="none" w:pos="8504"/>
      </w:tabs>
      <w:snapToGrid w:val="0"/>
    </w:pPr>
  </w:style>
  <w:style w:type="character" w:styleId="16">
    <w:name w:val="page number"/>
    <w:basedOn w:val="10"/>
    <w:next w:val="16"/>
    <w:link w:val="0"/>
    <w:uiPriority w:val="0"/>
  </w:style>
  <w:style w:type="paragraph" w:styleId="17">
    <w:name w:val="header"/>
    <w:basedOn w:val="0"/>
    <w:next w:val="17"/>
    <w:link w:val="0"/>
    <w:uiPriority w:val="0"/>
    <w:pPr>
      <w:tabs>
        <w:tab w:val="center" w:leader="none" w:pos="4252"/>
        <w:tab w:val="right" w:leader="none" w:pos="8504"/>
      </w:tabs>
      <w:snapToGrid w:val="0"/>
    </w:pPr>
  </w:style>
  <w:style w:type="paragraph" w:styleId="18" w:customStyle="1">
    <w:name w:val="説明文"/>
    <w:basedOn w:val="0"/>
    <w:next w:val="18"/>
    <w:link w:val="0"/>
    <w:uiPriority w:val="0"/>
    <w:pPr>
      <w:ind w:left="100" w:leftChars="100" w:firstLine="100" w:firstLineChars="100"/>
    </w:pPr>
    <w:rPr>
      <w:rFonts w:ascii="ＭＳ 明朝" w:hAnsi="ＭＳ 明朝"/>
      <w:sz w:val="22"/>
    </w:rPr>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next w:val="20"/>
    <w:link w:val="19"/>
    <w:uiPriority w:val="0"/>
    <w:rPr>
      <w:rFonts w:ascii="Arial" w:hAnsi="Arial" w:eastAsia="ＭＳ ゴシック"/>
      <w:kern w:val="2"/>
      <w:sz w:val="18"/>
    </w:rPr>
  </w:style>
  <w:style w:type="paragraph" w:styleId="21">
    <w:name w:val="List Paragraph"/>
    <w:basedOn w:val="0"/>
    <w:next w:val="21"/>
    <w:link w:val="0"/>
    <w:uiPriority w:val="0"/>
    <w:qFormat/>
    <w:pPr>
      <w:ind w:left="840" w:leftChars="400"/>
    </w:pPr>
    <w:rPr>
      <w:sz w:val="21"/>
    </w:rPr>
  </w:style>
  <w:style w:type="character" w:styleId="22" w:customStyle="1">
    <w:name w:val="フッター (文字)"/>
    <w:next w:val="22"/>
    <w:link w:val="15"/>
    <w:uiPriority w:val="0"/>
    <w:rPr>
      <w:kern w:val="2"/>
      <w:sz w:val="24"/>
    </w:rPr>
  </w:style>
  <w:style w:type="paragraph" w:styleId="23">
    <w:name w:val="Body Text"/>
    <w:basedOn w:val="0"/>
    <w:next w:val="23"/>
    <w:link w:val="24"/>
    <w:uiPriority w:val="0"/>
  </w:style>
  <w:style w:type="character" w:styleId="24" w:customStyle="1">
    <w:name w:val="本文 (文字)"/>
    <w:next w:val="24"/>
    <w:link w:val="23"/>
    <w:uiPriority w:val="0"/>
    <w:rPr>
      <w:kern w:val="2"/>
      <w:sz w:val="24"/>
    </w:rPr>
  </w:style>
  <w:style w:type="character" w:styleId="25" w:customStyle="1">
    <w:name w:val="label"/>
    <w:next w:val="25"/>
    <w:link w:val="0"/>
    <w:uiPriority w:val="0"/>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5261</TotalTime>
  <Pages>25</Pages>
  <Words>207</Words>
  <Characters>20615</Characters>
  <Application>JUST Note</Application>
  <Lines>967</Lines>
  <Paragraphs>573</Paragraphs>
  <CharactersWithSpaces>21439</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（教育長）氷室　清</dc:creator>
  <cp:lastModifiedBy>植木　美保子</cp:lastModifiedBy>
  <cp:lastPrinted>2026-08-10T00:43:42Z</cp:lastPrinted>
  <dcterms:created xsi:type="dcterms:W3CDTF">2024-08-09T07:51:00Z</dcterms:created>
  <dcterms:modified xsi:type="dcterms:W3CDTF">2026-08-18T08:29:37Z</dcterms:modified>
  <cp:revision>226</cp:revision>
</cp:coreProperties>
</file>