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06" w:rsidRDefault="000A4406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2127"/>
        <w:gridCol w:w="7229"/>
        <w:gridCol w:w="142"/>
        <w:gridCol w:w="135"/>
      </w:tblGrid>
      <w:tr w:rsidR="000A4406">
        <w:tblPrEx>
          <w:tblCellMar>
            <w:top w:w="0" w:type="dxa"/>
            <w:bottom w:w="0" w:type="dxa"/>
          </w:tblCellMar>
        </w:tblPrEx>
        <w:trPr>
          <w:cantSplit/>
          <w:trHeight w:hRule="exact" w:val="4282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  <w:p w:rsidR="000A4406" w:rsidRDefault="000A4406">
            <w:pPr>
              <w:jc w:val="center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請　　　　　　書</w:t>
            </w: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CD2C06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CD2C06" w:rsidRPr="00CD2C06">
              <w:rPr>
                <w:rFonts w:ascii="ＭＳ 明朝" w:hAnsi="ＭＳ 明朝" w:cs="ＭＳ 明朝" w:hint="eastAsia"/>
                <w:sz w:val="24"/>
                <w:szCs w:val="24"/>
              </w:rPr>
              <w:t>（　　　　）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上三川町長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星　野　光　利　様</w:t>
            </w: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住　所</w:t>
            </w: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受託者</w:t>
            </w: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氏　名　　　　　　　　　　　　　　　　印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0A4406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06" w:rsidRDefault="000A440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委託業務の名称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0A4406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06" w:rsidRDefault="000A440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</w:rPr>
              <w:t>履行場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0A4406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06" w:rsidRDefault="000A440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</w:rPr>
              <w:t>履行期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CD2C06" w:rsidRPr="00CD2C06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（　　　　）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年　　月　　日　　から</w:t>
            </w: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CD2C06" w:rsidRPr="00CD2C06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（　　　　）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年　　月　　日　　まで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0A4406">
        <w:tblPrEx>
          <w:tblCellMar>
            <w:top w:w="0" w:type="dxa"/>
            <w:bottom w:w="0" w:type="dxa"/>
          </w:tblCellMar>
        </w:tblPrEx>
        <w:trPr>
          <w:cantSplit/>
          <w:trHeight w:hRule="exact" w:val="191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06" w:rsidRDefault="000A440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</w:rPr>
              <w:t>業務委託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料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円</w:t>
            </w: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  <w:p w:rsidR="000A4406" w:rsidRDefault="000A4406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（うち取引に係る消費税及び地方消費税の額　　　　　　　　　　円）</w:t>
            </w:r>
          </w:p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  <w:p w:rsidR="000A4406" w:rsidRDefault="000A4406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［備考］（　）の部分は、受託者が課税事業者である場合に記載する。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0A4406" w:rsidTr="00170BB3">
        <w:tblPrEx>
          <w:tblCellMar>
            <w:top w:w="0" w:type="dxa"/>
            <w:bottom w:w="0" w:type="dxa"/>
          </w:tblCellMar>
        </w:tblPrEx>
        <w:trPr>
          <w:cantSplit/>
          <w:trHeight w:hRule="exact" w:val="550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06" w:rsidRDefault="000A4406">
            <w:pPr>
              <w:rPr>
                <w:rFonts w:ascii="ＭＳ 明朝" w:cs="Times New Roman"/>
              </w:rPr>
            </w:pPr>
          </w:p>
          <w:p w:rsidR="000A4406" w:rsidRDefault="000A4406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上記の業務を、次の条項により履行することをお請けします。</w:t>
            </w:r>
          </w:p>
          <w:p w:rsidR="000A4406" w:rsidRDefault="000A4406">
            <w:pPr>
              <w:rPr>
                <w:rFonts w:ascii="ＭＳ 明朝" w:cs="Times New Roman"/>
              </w:rPr>
            </w:pPr>
          </w:p>
          <w:p w:rsidR="000A4406" w:rsidRDefault="000A4406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１．頭書の業務を、頭書の履行期間内に別冊設計書、図面及び仕様書に基づき完成すること。</w:t>
            </w:r>
          </w:p>
          <w:p w:rsidR="000A4406" w:rsidRDefault="000A4406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２．この契約によって生ずる権利義務を、第三者に譲渡し、又は承継しないこと。ただし、貴</w:t>
            </w:r>
          </w:p>
          <w:p w:rsidR="000A4406" w:rsidRDefault="000A4406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職の承認を得た場合は、この限りでないものとする。</w:t>
            </w:r>
          </w:p>
          <w:p w:rsidR="000A4406" w:rsidRDefault="000A4406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３．業務の施行に関しては、すべて貴職の指定した監督員（以下「監督員」という。）の指揮</w:t>
            </w:r>
          </w:p>
          <w:p w:rsidR="000A4406" w:rsidRDefault="000A4406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監督に従うこと。</w:t>
            </w:r>
          </w:p>
          <w:p w:rsidR="000A4406" w:rsidRDefault="000A4406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４．業務の施行が図面又は仕様書に適合しない場合において、貴職又は監督員から図面又は仕</w:t>
            </w:r>
          </w:p>
          <w:p w:rsidR="000A4406" w:rsidRDefault="000A4406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様書に基づく修補の請求があったときは、これに従うこと。この場合において、業務委託料</w:t>
            </w:r>
          </w:p>
          <w:p w:rsidR="000A4406" w:rsidRDefault="000A4406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の増額又は期限の延長の請求はできないこと。</w:t>
            </w:r>
          </w:p>
          <w:p w:rsidR="000A4406" w:rsidRDefault="000A4406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５．受託者の責めに帰する理由によって、頭書の完成期日に、業務を完成することができない</w:t>
            </w:r>
          </w:p>
          <w:p w:rsidR="000A4406" w:rsidRPr="009A64C7" w:rsidRDefault="000A4406">
            <w:pPr>
              <w:rPr>
                <w:rFonts w:ascii="ＭＳ 明朝" w:cs="Times New Roman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ときは、その理由を明らかにして期間内</w:t>
            </w:r>
            <w:r w:rsidRPr="009A64C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に届け出ること。この場合において、期間後に完成</w:t>
            </w:r>
          </w:p>
          <w:p w:rsidR="000A4406" w:rsidRPr="009A64C7" w:rsidRDefault="000A4406">
            <w:pPr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9A64C7"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 </w:t>
            </w:r>
            <w:r w:rsidRPr="009A64C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する見込みがあるときは、延期の期間を明らかにして貴職の承認を受け、遅滞違約金（未済</w:t>
            </w:r>
          </w:p>
          <w:p w:rsidR="00170BB3" w:rsidRPr="009A64C7" w:rsidRDefault="000A4406" w:rsidP="00170BB3">
            <w:pPr>
              <w:ind w:rightChars="67" w:right="141"/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</w:pPr>
            <w:r w:rsidRPr="009A64C7"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 </w:t>
            </w:r>
            <w:r w:rsidR="00340658" w:rsidRPr="009A64C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部分の委託料相当額に対し</w:t>
            </w:r>
            <w:r w:rsidR="00170BB3" w:rsidRPr="009A64C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政府契約の支払遅延防止等に関する法律（昭和２４年法律第２５６</w:t>
            </w:r>
          </w:p>
          <w:p w:rsidR="00170BB3" w:rsidRPr="009A64C7" w:rsidRDefault="00170BB3" w:rsidP="00170BB3">
            <w:pPr>
              <w:ind w:leftChars="150" w:left="315"/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</w:pPr>
            <w:r w:rsidRPr="009A64C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号）第８条第１項の規定により財務大臣が決定する率</w:t>
            </w:r>
            <w:r w:rsidR="000A4406" w:rsidRPr="009A64C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（年当たりの割合は、閏年の日を含む</w:t>
            </w:r>
          </w:p>
          <w:p w:rsidR="000A4406" w:rsidRDefault="000A4406" w:rsidP="00170BB3">
            <w:pPr>
              <w:ind w:leftChars="150" w:left="315"/>
              <w:rPr>
                <w:rFonts w:ascii="ＭＳ 明朝" w:cs="Times New Roman"/>
                <w:sz w:val="22"/>
                <w:szCs w:val="22"/>
              </w:rPr>
            </w:pPr>
            <w:r w:rsidRPr="009A64C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期間についても、３６５日の割合とする。））を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支払い、業務を完成すること。</w:t>
            </w:r>
          </w:p>
          <w:p w:rsidR="000A4406" w:rsidRDefault="000A4406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６．業務が完成したときは、書面で通知し、検査に合格後、業務委託料の請求ができること。</w:t>
            </w:r>
          </w:p>
          <w:p w:rsidR="000A4406" w:rsidRDefault="000A4406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７．本書に定めない事項については、必要に応じて当事者協議の上定めるものとする。</w:t>
            </w: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406" w:rsidRDefault="000A4406">
            <w:pPr>
              <w:rPr>
                <w:rFonts w:ascii="ＭＳ 明朝" w:cs="Times New Roman"/>
              </w:rPr>
            </w:pPr>
          </w:p>
        </w:tc>
      </w:tr>
    </w:tbl>
    <w:p w:rsidR="000A4406" w:rsidRDefault="000A4406">
      <w:pPr>
        <w:rPr>
          <w:rFonts w:ascii="ＭＳ 明朝" w:cs="Times New Roman"/>
          <w:sz w:val="24"/>
          <w:szCs w:val="24"/>
        </w:rPr>
      </w:pPr>
    </w:p>
    <w:sectPr w:rsidR="000A4406">
      <w:pgSz w:w="11906" w:h="16838" w:code="9"/>
      <w:pgMar w:top="851" w:right="851" w:bottom="567" w:left="851" w:header="720" w:footer="720" w:gutter="0"/>
      <w:pgNumType w:fmt="numberInDash" w:start="18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5B"/>
    <w:rsid w:val="0004371F"/>
    <w:rsid w:val="000960CC"/>
    <w:rsid w:val="000A4406"/>
    <w:rsid w:val="00170BB3"/>
    <w:rsid w:val="00340658"/>
    <w:rsid w:val="009A64C7"/>
    <w:rsid w:val="00CD2C06"/>
    <w:rsid w:val="00CF3ACC"/>
    <w:rsid w:val="00D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60407-06B7-4CB7-92AB-8C3DCD9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cs="ＭＳ 明朝"/>
      <w:spacing w:val="-4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　　　書</vt:lpstr>
      <vt:lpstr>請　　　　　　書</vt:lpstr>
    </vt:vector>
  </TitlesOfParts>
  <Company>上三川町役場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　　　書</dc:title>
  <dc:subject/>
  <dc:creator>上三川町役場</dc:creator>
  <cp:keywords/>
  <dc:description/>
  <cp:lastModifiedBy>総務課</cp:lastModifiedBy>
  <cp:revision>2</cp:revision>
  <dcterms:created xsi:type="dcterms:W3CDTF">2022-12-08T06:37:00Z</dcterms:created>
  <dcterms:modified xsi:type="dcterms:W3CDTF">2022-12-08T06:37:00Z</dcterms:modified>
</cp:coreProperties>
</file>